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1394DD0B" w14:textId="61FAFDF1" w:rsidR="000A0C77" w:rsidRDefault="000A0C77" w:rsidP="000A0C7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97413D">
        <w:rPr>
          <w:rFonts w:ascii="Times New Roman" w:eastAsia="Times New Roman" w:hAnsi="Times New Roman" w:cs="Times New Roman"/>
          <w:bCs/>
          <w:sz w:val="24"/>
          <w:szCs w:val="24"/>
          <w:lang w:eastAsia="ar-SA"/>
        </w:rPr>
        <w:t>28.11.2023</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sidR="0097413D">
        <w:rPr>
          <w:rFonts w:ascii="Times New Roman" w:eastAsia="Times New Roman" w:hAnsi="Times New Roman" w:cs="Times New Roman"/>
          <w:bCs/>
          <w:sz w:val="24"/>
          <w:szCs w:val="24"/>
          <w:lang w:eastAsia="ar-SA"/>
        </w:rPr>
        <w:t>797</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5C630F1C"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781687D8"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bCs/>
          <w:sz w:val="24"/>
          <w:szCs w:val="24"/>
          <w:lang w:eastAsia="ar-SA"/>
        </w:rPr>
        <w:t>04.05.2023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245 «Об утверждении административного регламента по предоставлению муниципальной услуги ««</w:t>
      </w:r>
      <w:r>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511CC07B"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C320870" w14:textId="2FFE9EDC"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97413D">
        <w:rPr>
          <w:rFonts w:ascii="Times New Roman" w:eastAsia="Times New Roman" w:hAnsi="Times New Roman" w:cs="Times New Roman"/>
          <w:bCs/>
          <w:sz w:val="24"/>
          <w:szCs w:val="24"/>
          <w:lang w:eastAsia="ar-SA"/>
        </w:rPr>
        <w:t>28.11.2023</w:t>
      </w:r>
      <w:r>
        <w:rPr>
          <w:rFonts w:ascii="Times New Roman" w:eastAsia="Times New Roman" w:hAnsi="Times New Roman" w:cs="Times New Roman"/>
          <w:bCs/>
          <w:sz w:val="24"/>
          <w:szCs w:val="24"/>
          <w:lang w:eastAsia="ar-SA"/>
        </w:rPr>
        <w:t xml:space="preserve"> № </w:t>
      </w:r>
      <w:r w:rsidR="0097413D">
        <w:rPr>
          <w:rFonts w:ascii="Times New Roman" w:eastAsia="Times New Roman" w:hAnsi="Times New Roman" w:cs="Times New Roman"/>
          <w:bCs/>
          <w:sz w:val="24"/>
          <w:szCs w:val="24"/>
          <w:lang w:eastAsia="ar-SA"/>
        </w:rPr>
        <w:t>797</w:t>
      </w:r>
    </w:p>
    <w:p w14:paraId="367A9C83" w14:textId="77777777"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1. 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77777777" w:rsidR="00010B6C" w:rsidRPr="00FD3D1A"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CCD65C4" w14:textId="77777777" w:rsidR="006D53B4" w:rsidRPr="00FD3D1A"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1.2 </w:t>
      </w:r>
      <w:r w:rsidR="006D53B4" w:rsidRPr="00FD3D1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3EC5B61E" w14:textId="77777777" w:rsidR="006D53B4" w:rsidRPr="00FD3D1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физические лица;</w:t>
      </w:r>
    </w:p>
    <w:p w14:paraId="0D9BC849" w14:textId="595FAA79" w:rsidR="006D53B4" w:rsidRPr="00FD3D1A" w:rsidRDefault="006D53B4" w:rsidP="000A0C7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юридические лица (далее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Представлять интересы заявителя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obl.ru, 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77777777"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FD3D1A">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(e-mail).</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(в период до 01.01.202</w:t>
      </w:r>
      <w:r w:rsidR="00AA23A2"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77777777"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FD3D1A">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w:t>
      </w:r>
      <w:r w:rsidRPr="00FD3D1A">
        <w:rPr>
          <w:rFonts w:ascii="Times New Roman" w:eastAsia="Times New Roman" w:hAnsi="Times New Roman" w:cs="Times New Roman"/>
          <w:sz w:val="24"/>
          <w:szCs w:val="24"/>
          <w:lang w:eastAsia="ru-RU"/>
        </w:rPr>
        <w:lastRenderedPageBreak/>
        <w:t xml:space="preserve">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FD3D1A">
        <w:rPr>
          <w:rFonts w:ascii="Times New Roman" w:eastAsia="Times New Roman" w:hAnsi="Times New Roman" w:cs="Times New Roman"/>
          <w:sz w:val="24"/>
          <w:szCs w:val="24"/>
          <w:lang w:eastAsia="ru-RU"/>
        </w:rPr>
        <w:lastRenderedPageBreak/>
        <w:t xml:space="preserve">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w:t>
      </w:r>
      <w:r w:rsidRPr="00FD3D1A">
        <w:rPr>
          <w:rFonts w:ascii="Times New Roman" w:eastAsia="Times New Roman" w:hAnsi="Times New Roman" w:cs="Times New Roman"/>
          <w:color w:val="000000"/>
          <w:sz w:val="24"/>
          <w:szCs w:val="24"/>
          <w:lang w:eastAsia="ru-RU" w:bidi="ru-RU"/>
        </w:rPr>
        <w:lastRenderedPageBreak/>
        <w:t>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w:t>
      </w:r>
      <w:r w:rsidRPr="00FD3D1A">
        <w:rPr>
          <w:rFonts w:ascii="Times New Roman" w:eastAsia="Times New Roman" w:hAnsi="Times New Roman" w:cs="Times New Roman"/>
          <w:color w:val="000000"/>
          <w:sz w:val="24"/>
          <w:szCs w:val="24"/>
          <w:lang w:eastAsia="ru-RU" w:bidi="ru-RU"/>
        </w:rPr>
        <w:lastRenderedPageBreak/>
        <w:t>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w:t>
      </w:r>
      <w:r w:rsidRPr="00FD3D1A">
        <w:rPr>
          <w:rFonts w:ascii="Times New Roman" w:eastAsia="Times New Roman" w:hAnsi="Times New Roman" w:cs="Times New Roman"/>
          <w:color w:val="000000"/>
          <w:sz w:val="24"/>
          <w:szCs w:val="24"/>
          <w:lang w:bidi="ru-RU"/>
        </w:rPr>
        <w:lastRenderedPageBreak/>
        <w:t xml:space="preserve">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FD3D1A">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FD3D1A">
        <w:rPr>
          <w:rFonts w:ascii="Times New Roman" w:eastAsia="Times New Roman" w:hAnsi="Times New Roman" w:cs="Times New Roman"/>
          <w:color w:val="000000"/>
          <w:sz w:val="24"/>
          <w:szCs w:val="24"/>
          <w:lang w:eastAsia="ru-RU" w:bidi="ru-RU"/>
        </w:rPr>
        <w:lastRenderedPageBreak/>
        <w:t>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29)</w:t>
      </w:r>
      <w:r w:rsidRPr="00FD3D1A">
        <w:rPr>
          <w:rFonts w:ascii="Times New Roman" w:eastAsia="Times New Roman" w:hAnsi="Times New Roman" w:cs="Times New Roman"/>
          <w:color w:val="000000"/>
          <w:sz w:val="24"/>
          <w:szCs w:val="24"/>
          <w:lang w:eastAsia="ru-RU" w:bidi="ru-RU"/>
        </w:rPr>
        <w:tab/>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w:t>
      </w:r>
      <w:r w:rsidRPr="00FD3D1A">
        <w:rPr>
          <w:rFonts w:ascii="Times New Roman" w:eastAsia="Times New Roman" w:hAnsi="Times New Roman" w:cs="Times New Roman"/>
          <w:color w:val="000000"/>
          <w:sz w:val="24"/>
          <w:szCs w:val="24"/>
          <w:lang w:eastAsia="ru-RU" w:bidi="ru-RU"/>
        </w:rPr>
        <w:lastRenderedPageBreak/>
        <w:t>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FD3D1A">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FD3D1A">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или осуществления крестьянским (фермерским) 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w:t>
      </w:r>
      <w:r w:rsidRPr="00FD3D1A">
        <w:rPr>
          <w:rFonts w:ascii="Times New Roman" w:hAnsi="Times New Roman" w:cs="Times New Roman"/>
          <w:sz w:val="24"/>
          <w:szCs w:val="24"/>
        </w:rPr>
        <w:lastRenderedPageBreak/>
        <w:t xml:space="preserve">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 xml:space="preserve">38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Pr="00FD3D1A">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97413D"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FD3D1A">
        <w:rPr>
          <w:rFonts w:ascii="Times New Roman" w:eastAsia="Times New Roman" w:hAnsi="Times New Roman" w:cs="Times New Roman"/>
          <w:sz w:val="24"/>
          <w:szCs w:val="24"/>
          <w:lang w:eastAsia="ru-RU"/>
        </w:rPr>
        <w:lastRenderedPageBreak/>
        <w:t>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w:t>
      </w:r>
      <w:r w:rsidRPr="00FD3D1A">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7777777"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до 01.01.202</w:t>
      </w:r>
      <w:r w:rsidR="00A9342A" w:rsidRPr="00FD3D1A">
        <w:rPr>
          <w:rFonts w:ascii="Times New Roman" w:hAnsi="Times New Roman" w:cs="Times New Roman"/>
          <w:sz w:val="24"/>
          <w:szCs w:val="24"/>
        </w:rPr>
        <w:t>4</w:t>
      </w:r>
      <w:r w:rsidR="005E7747" w:rsidRPr="00FD3D1A">
        <w:rPr>
          <w:rFonts w:ascii="Times New Roman" w:hAnsi="Times New Roman" w:cs="Times New Roman"/>
          <w:sz w:val="24"/>
          <w:szCs w:val="24"/>
        </w:rPr>
        <w:t xml:space="preserve"> –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lastRenderedPageBreak/>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«Межвед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lastRenderedPageBreak/>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D3D1A">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 xml:space="preserve">ной услуги в иных МФЦ </w:t>
      </w:r>
      <w:r w:rsidRPr="00FD3D1A">
        <w:rPr>
          <w:rFonts w:ascii="Times New Roman" w:eastAsia="Times New Roman" w:hAnsi="Times New Roman" w:cs="Times New Roman"/>
          <w:sz w:val="24"/>
          <w:szCs w:val="24"/>
          <w:lang w:eastAsia="ru-RU"/>
        </w:rPr>
        <w:lastRenderedPageBreak/>
        <w:t>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FD3D1A">
        <w:rPr>
          <w:rFonts w:ascii="Times New Roman" w:eastAsia="Times New Roman" w:hAnsi="Times New Roman" w:cs="Times New Roman"/>
          <w:sz w:val="24"/>
          <w:szCs w:val="24"/>
          <w:lang w:eastAsia="ru-RU"/>
        </w:rPr>
        <w:lastRenderedPageBreak/>
        <w:t>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10DEE3B" w14:textId="77777777" w:rsidR="00175534" w:rsidRPr="00FD3D1A"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D3D1A">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FD3D1A">
        <w:rPr>
          <w:rFonts w:ascii="ArialMT" w:eastAsiaTheme="minorEastAsia" w:hAnsi="ArialMT" w:cs="ArialMT"/>
          <w:sz w:val="24"/>
          <w:szCs w:val="24"/>
          <w:lang w:eastAsia="ru-RU"/>
        </w:rPr>
        <w:t xml:space="preserve">, </w:t>
      </w:r>
      <w:r w:rsidRPr="00FD3D1A">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73417B05" w14:textId="77777777" w:rsidR="00175534" w:rsidRPr="00FD3D1A" w:rsidRDefault="00175534" w:rsidP="000F7C64">
            <w:pPr>
              <w:pStyle w:val="ConsPlusNonformat"/>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t>В случае, если указан вид права «в собственность, продажа» (п.2 ст. 39.3)</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 земельных участков, образованных из земельного участка, </w:t>
            </w:r>
            <w:r w:rsidRPr="00FD3D1A">
              <w:rPr>
                <w:rFonts w:ascii="Times New Roman" w:eastAsia="Times New Roman" w:hAnsi="Times New Roman" w:cs="Times New Roman"/>
                <w:sz w:val="24"/>
                <w:szCs w:val="24"/>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BE59FFE" w14:textId="77777777" w:rsidR="00175534" w:rsidRPr="00FD3D1A"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FD3D1A" w14:paraId="3F48BEE9" w14:textId="77777777" w:rsidTr="003A5A39">
        <w:tc>
          <w:tcPr>
            <w:tcW w:w="5046" w:type="dxa"/>
          </w:tcPr>
          <w:p w14:paraId="36782B8F" w14:textId="77777777" w:rsidR="00175534" w:rsidRPr="00FD3D1A" w:rsidRDefault="00175534" w:rsidP="000326C3">
            <w:pPr>
              <w:pStyle w:val="ConsPlusNonformat"/>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lastRenderedPageBreak/>
              <w:t xml:space="preserve">В случае, если указан вид права «аренда» (п. </w:t>
            </w:r>
            <w:r w:rsidRPr="00FD3D1A">
              <w:rPr>
                <w:rFonts w:ascii="Times New Roman" w:hAnsi="Times New Roman" w:cs="Times New Roman"/>
                <w:sz w:val="24"/>
                <w:szCs w:val="24"/>
              </w:rPr>
              <w:lastRenderedPageBreak/>
              <w:t>2 ст. 39.6)</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lastRenderedPageBreak/>
              <w:t xml:space="preserve">1) земельного участка юридическим </w:t>
            </w:r>
            <w:r w:rsidRPr="00FD3D1A">
              <w:rPr>
                <w:rFonts w:ascii="Times New Roman" w:eastAsia="Times New Roman" w:hAnsi="Times New Roman" w:cs="Times New Roman"/>
                <w:sz w:val="24"/>
                <w:szCs w:val="24"/>
              </w:rPr>
              <w:lastRenderedPageBreak/>
              <w:t>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w:t>
            </w:r>
            <w:r w:rsidRPr="00FD3D1A">
              <w:rPr>
                <w:rFonts w:ascii="Times New Roman" w:eastAsia="Times New Roman" w:hAnsi="Times New Roman" w:cs="Times New Roman"/>
                <w:sz w:val="24"/>
                <w:szCs w:val="24"/>
              </w:rPr>
              <w:lastRenderedPageBreak/>
              <w:t>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51F199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w:t>
            </w:r>
            <w:r w:rsidRPr="00FD3D1A">
              <w:rPr>
                <w:rFonts w:ascii="Times New Roman" w:eastAsia="Times New Roman" w:hAnsi="Times New Roman" w:cs="Times New Roman"/>
                <w:sz w:val="24"/>
                <w:szCs w:val="24"/>
              </w:rPr>
              <w:lastRenderedPageBreak/>
              <w:t>несостоятельности (банкротстве) 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1A38D3" w:rsidRPr="00FD3D1A">
              <w:rPr>
                <w:rFonts w:ascii="Times New Roman" w:eastAsia="Times New Roman" w:hAnsi="Times New Roman" w:cs="Times New Roman"/>
                <w:sz w:val="24"/>
                <w:szCs w:val="24"/>
              </w:rPr>
              <w:lastRenderedPageBreak/>
              <w:t>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w:t>
            </w:r>
            <w:r w:rsidRPr="00FD3D1A">
              <w:rPr>
                <w:rFonts w:ascii="Times New Roman" w:eastAsia="Times New Roman" w:hAnsi="Times New Roman" w:cs="Times New Roman"/>
                <w:sz w:val="24"/>
                <w:szCs w:val="24"/>
              </w:rPr>
              <w:lastRenderedPageBreak/>
              <w:t>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w:t>
            </w:r>
            <w:r w:rsidR="001A38D3" w:rsidRPr="00FD3D1A">
              <w:rPr>
                <w:rFonts w:ascii="Times New Roman" w:eastAsia="Times New Roman" w:hAnsi="Times New Roman" w:cs="Times New Roman"/>
                <w:sz w:val="24"/>
                <w:szCs w:val="24"/>
              </w:rPr>
              <w:lastRenderedPageBreak/>
              <w:t>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w:t>
            </w:r>
            <w:r w:rsidRPr="00FD3D1A">
              <w:rPr>
                <w:rFonts w:ascii="Times New Roman" w:eastAsia="Times New Roman" w:hAnsi="Times New Roman" w:cs="Times New Roman"/>
                <w:sz w:val="24"/>
                <w:szCs w:val="24"/>
              </w:rPr>
              <w:lastRenderedPageBreak/>
              <w:t>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w:t>
            </w:r>
            <w:r w:rsidR="001A38D3" w:rsidRPr="00FD3D1A">
              <w:rPr>
                <w:rFonts w:ascii="Times New Roman" w:eastAsia="Times New Roman" w:hAnsi="Times New Roman" w:cs="Times New Roman"/>
                <w:sz w:val="24"/>
                <w:szCs w:val="24"/>
              </w:rPr>
              <w:lastRenderedPageBreak/>
              <w:t>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3EA2EEC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p w14:paraId="521C7830" w14:textId="39E7E72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w:t>
            </w:r>
            <w:r w:rsidRPr="00FD3D1A">
              <w:rPr>
                <w:rFonts w:ascii="Times New Roman" w:eastAsia="Times New Roman" w:hAnsi="Times New Roman" w:cs="Times New Roman"/>
                <w:sz w:val="24"/>
                <w:szCs w:val="24"/>
              </w:rPr>
              <w:lastRenderedPageBreak/>
              <w:t>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5E2CDDC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lastRenderedPageBreak/>
              <w:t>36</w:t>
            </w:r>
            <w:r w:rsidR="001A38D3" w:rsidRPr="00FD3D1A">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15358219"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1A38D3" w:rsidRPr="00FD3D1A">
              <w:rPr>
                <w:rFonts w:ascii="Times New Roman" w:eastAsia="Times New Roman" w:hAnsi="Times New Roman" w:cs="Times New Roman"/>
                <w:sz w:val="24"/>
                <w:szCs w:val="24"/>
              </w:rPr>
              <w:lastRenderedPageBreak/>
              <w:t>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C69F61E"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66301CC" w14:textId="70EE1273" w:rsidR="003C54CC" w:rsidRPr="00FD3D1A"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FD3D1A" w14:paraId="0937013E" w14:textId="77777777" w:rsidTr="003A5A39">
        <w:tc>
          <w:tcPr>
            <w:tcW w:w="5046" w:type="dxa"/>
          </w:tcPr>
          <w:p w14:paraId="64D0B547" w14:textId="77777777" w:rsidR="00175534" w:rsidRPr="00FD3D1A" w:rsidRDefault="00175534" w:rsidP="000326C3">
            <w:pPr>
              <w:pStyle w:val="ConsPlusNonformat"/>
              <w:tabs>
                <w:tab w:val="left" w:pos="1365"/>
              </w:tabs>
              <w:jc w:val="both"/>
              <w:rPr>
                <w:rFonts w:ascii="Times New Roman" w:hAnsi="Times New Roman" w:cs="Times New Roman"/>
                <w:color w:val="000000" w:themeColor="text1"/>
                <w:sz w:val="24"/>
                <w:szCs w:val="24"/>
              </w:rPr>
            </w:pPr>
            <w:r w:rsidRPr="00FD3D1A">
              <w:rPr>
                <w:rFonts w:ascii="Times New Roman" w:hAnsi="Times New Roman" w:cs="Times New Roman"/>
                <w:sz w:val="24"/>
                <w:szCs w:val="24"/>
              </w:rPr>
              <w:lastRenderedPageBreak/>
              <w:t>В случае, если указан вид права «безвозмездное пользование» (п. 2. ст. 39.10)</w:t>
            </w:r>
            <w:r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w:t>
            </w:r>
            <w:r w:rsidRPr="00FD3D1A">
              <w:rPr>
                <w:rFonts w:ascii="Times New Roman" w:eastAsia="Times New Roman" w:hAnsi="Times New Roman" w:cs="Times New Roman"/>
                <w:sz w:val="24"/>
                <w:szCs w:val="24"/>
              </w:rPr>
              <w:lastRenderedPageBreak/>
              <w:t>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некоммерческим организациям, </w:t>
            </w:r>
            <w:r w:rsidR="001A38D3" w:rsidRPr="00FD3D1A">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20C31EDC"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w:t>
            </w:r>
            <w:r w:rsidRPr="00FD3D1A">
              <w:rPr>
                <w:rFonts w:ascii="Times New Roman" w:eastAsia="Times New Roman" w:hAnsi="Times New Roman" w:cs="Times New Roman"/>
                <w:sz w:val="24"/>
                <w:szCs w:val="24"/>
              </w:rPr>
              <w:lastRenderedPageBreak/>
              <w:t>помещений на период осуществления 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0FD8860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14:paraId="07D8FA54" w14:textId="43471BC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FD3D1A">
              <w:rPr>
                <w:rFonts w:ascii="Times New Roman" w:eastAsia="Times New Roman" w:hAnsi="Times New Roman" w:cs="Times New Roman"/>
                <w:sz w:val="24"/>
                <w:szCs w:val="24"/>
              </w:rPr>
              <w:lastRenderedPageBreak/>
              <w:t>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2E13345B"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001A38D3" w:rsidRPr="00FD3D1A">
              <w:rPr>
                <w:rFonts w:ascii="Times New Roman" w:eastAsia="Times New Roman" w:hAnsi="Times New Roman" w:cs="Times New Roman"/>
                <w:sz w:val="24"/>
                <w:szCs w:val="24"/>
              </w:rPr>
              <w:lastRenderedPageBreak/>
              <w:t>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ъект недвижимости:____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4091BC4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lastRenderedPageBreak/>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0ED2FF41"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14:paraId="71FEA71F"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DDC978"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6846A4"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75A6C1"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10633C"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99F8E5"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62E6A5" w14:textId="77777777" w:rsidR="00FD3D1A" w:rsidRDefault="00FD3D1A"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B8388F" w14:textId="3AEE4F3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lastRenderedPageBreak/>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8E01" w14:textId="77777777" w:rsidR="00CF1EBC" w:rsidRDefault="00CF1EBC">
      <w:pPr>
        <w:spacing w:after="0" w:line="240" w:lineRule="auto"/>
      </w:pPr>
      <w:r>
        <w:separator/>
      </w:r>
    </w:p>
  </w:endnote>
  <w:endnote w:type="continuationSeparator" w:id="0">
    <w:p w14:paraId="21C604D6" w14:textId="77777777" w:rsidR="00CF1EBC" w:rsidRDefault="00CF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9568" w14:textId="77777777" w:rsidR="00CF1EBC" w:rsidRDefault="00CF1EBC">
      <w:pPr>
        <w:spacing w:after="0" w:line="240" w:lineRule="auto"/>
      </w:pPr>
      <w:r>
        <w:separator/>
      </w:r>
    </w:p>
  </w:footnote>
  <w:footnote w:type="continuationSeparator" w:id="0">
    <w:p w14:paraId="389C70C7" w14:textId="77777777" w:rsidR="00CF1EBC" w:rsidRDefault="00CF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A0C77"/>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413D"/>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1EBC"/>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19908</Words>
  <Characters>113479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2021-10-22T14:33:00Z</cp:lastPrinted>
  <dcterms:created xsi:type="dcterms:W3CDTF">2023-11-15T14:17:00Z</dcterms:created>
  <dcterms:modified xsi:type="dcterms:W3CDTF">2023-11-30T07:09:00Z</dcterms:modified>
</cp:coreProperties>
</file>