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33DFF678" wp14:editId="31FF2D97">
            <wp:extent cx="541020" cy="67056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C02F75" w:rsidRPr="00C02F75" w:rsidRDefault="00C02F75" w:rsidP="00C02F75">
      <w:pPr>
        <w:tabs>
          <w:tab w:val="left" w:pos="5550"/>
          <w:tab w:val="left" w:pos="5760"/>
          <w:tab w:val="left" w:pos="6120"/>
        </w:tabs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Администрация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Муниципального образования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«Пудомягское сельское поселение»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Гатчинского муниципального района</w:t>
      </w: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</w:pPr>
      <w:r w:rsidRPr="00C02F75">
        <w:rPr>
          <w:rFonts w:ascii="Times New Roman" w:hAnsi="Times New Roman"/>
          <w:b/>
          <w:color w:val="000000"/>
          <w:spacing w:val="1"/>
          <w:w w:val="106"/>
          <w:sz w:val="28"/>
          <w:szCs w:val="28"/>
        </w:rPr>
        <w:t>Ленинградской области</w:t>
      </w: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2F75" w:rsidRPr="00C02F75" w:rsidRDefault="00C02F75" w:rsidP="00C02F7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C02F75" w:rsidRDefault="00C02F75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2F75">
        <w:rPr>
          <w:rFonts w:ascii="Times New Roman" w:hAnsi="Times New Roman"/>
          <w:b/>
          <w:sz w:val="28"/>
          <w:szCs w:val="28"/>
        </w:rPr>
        <w:t>ПОСТАНОВЛЕНИЕ</w:t>
      </w:r>
    </w:p>
    <w:p w:rsidR="00C85936" w:rsidRPr="00C02F75" w:rsidRDefault="00C85936" w:rsidP="00C02F7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67490" w:rsidRDefault="00067490" w:rsidP="00C02F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7490" w:rsidRPr="00206675" w:rsidRDefault="00067490" w:rsidP="0006749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06675">
        <w:rPr>
          <w:rFonts w:ascii="Times New Roman" w:hAnsi="Times New Roman"/>
          <w:b/>
          <w:sz w:val="24"/>
          <w:szCs w:val="24"/>
        </w:rPr>
        <w:t>От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83120B">
        <w:rPr>
          <w:rFonts w:ascii="Times New Roman" w:hAnsi="Times New Roman"/>
          <w:b/>
          <w:sz w:val="24"/>
          <w:szCs w:val="24"/>
        </w:rPr>
        <w:t xml:space="preserve"> </w:t>
      </w:r>
      <w:r w:rsidR="006A16B3">
        <w:rPr>
          <w:rFonts w:ascii="Times New Roman" w:hAnsi="Times New Roman"/>
          <w:b/>
          <w:sz w:val="24"/>
          <w:szCs w:val="24"/>
        </w:rPr>
        <w:t>05</w:t>
      </w:r>
      <w:r w:rsidR="002B32C0">
        <w:rPr>
          <w:rFonts w:ascii="Times New Roman" w:hAnsi="Times New Roman"/>
          <w:b/>
          <w:sz w:val="24"/>
          <w:szCs w:val="24"/>
        </w:rPr>
        <w:t>.10</w:t>
      </w:r>
      <w:r w:rsidR="0083120B">
        <w:rPr>
          <w:rFonts w:ascii="Times New Roman" w:hAnsi="Times New Roman"/>
          <w:b/>
          <w:sz w:val="24"/>
          <w:szCs w:val="24"/>
        </w:rPr>
        <w:t>.</w:t>
      </w:r>
      <w:r w:rsidR="00A10560" w:rsidRPr="00206675">
        <w:rPr>
          <w:rFonts w:ascii="Times New Roman" w:hAnsi="Times New Roman"/>
          <w:b/>
          <w:sz w:val="24"/>
          <w:szCs w:val="24"/>
        </w:rPr>
        <w:t>201</w:t>
      </w:r>
      <w:r w:rsidR="00D26793">
        <w:rPr>
          <w:rFonts w:ascii="Times New Roman" w:hAnsi="Times New Roman"/>
          <w:b/>
          <w:sz w:val="24"/>
          <w:szCs w:val="24"/>
        </w:rPr>
        <w:t>8</w:t>
      </w:r>
      <w:r w:rsidRPr="00206675">
        <w:rPr>
          <w:rFonts w:ascii="Times New Roman" w:hAnsi="Times New Roman"/>
          <w:b/>
          <w:sz w:val="24"/>
          <w:szCs w:val="24"/>
        </w:rPr>
        <w:t xml:space="preserve"> г.        </w:t>
      </w:r>
      <w:r w:rsidR="0083120B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A10560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A60866" w:rsidRPr="00206675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="00206675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8564DA" w:rsidRPr="00206675">
        <w:rPr>
          <w:rFonts w:ascii="Times New Roman" w:hAnsi="Times New Roman"/>
          <w:b/>
          <w:sz w:val="24"/>
          <w:szCs w:val="24"/>
        </w:rPr>
        <w:t xml:space="preserve"> </w:t>
      </w:r>
      <w:r w:rsidRPr="00206675">
        <w:rPr>
          <w:rFonts w:ascii="Times New Roman" w:hAnsi="Times New Roman"/>
          <w:b/>
          <w:sz w:val="24"/>
          <w:szCs w:val="24"/>
        </w:rPr>
        <w:t xml:space="preserve">           </w:t>
      </w:r>
      <w:r w:rsidR="0002287D">
        <w:rPr>
          <w:rFonts w:ascii="Times New Roman" w:hAnsi="Times New Roman"/>
          <w:b/>
          <w:sz w:val="24"/>
          <w:szCs w:val="24"/>
        </w:rPr>
        <w:t xml:space="preserve">   </w:t>
      </w:r>
      <w:r w:rsidR="00B65674">
        <w:rPr>
          <w:rFonts w:ascii="Times New Roman" w:hAnsi="Times New Roman"/>
          <w:b/>
          <w:sz w:val="24"/>
          <w:szCs w:val="24"/>
        </w:rPr>
        <w:t xml:space="preserve">     </w:t>
      </w:r>
      <w:r w:rsidR="006A16B3">
        <w:rPr>
          <w:rFonts w:ascii="Times New Roman" w:hAnsi="Times New Roman"/>
          <w:b/>
          <w:sz w:val="24"/>
          <w:szCs w:val="24"/>
        </w:rPr>
        <w:t xml:space="preserve">   </w:t>
      </w:r>
      <w:r w:rsidRPr="00206675">
        <w:rPr>
          <w:rFonts w:ascii="Times New Roman" w:hAnsi="Times New Roman"/>
          <w:b/>
          <w:sz w:val="24"/>
          <w:szCs w:val="24"/>
        </w:rPr>
        <w:t xml:space="preserve">  </w:t>
      </w:r>
      <w:r w:rsidR="00040D81">
        <w:rPr>
          <w:rFonts w:ascii="Times New Roman" w:hAnsi="Times New Roman"/>
          <w:b/>
          <w:sz w:val="24"/>
          <w:szCs w:val="24"/>
        </w:rPr>
        <w:t xml:space="preserve"> </w:t>
      </w:r>
      <w:r w:rsidR="00C02F75" w:rsidRPr="00206675">
        <w:rPr>
          <w:rFonts w:ascii="Times New Roman" w:hAnsi="Times New Roman"/>
          <w:b/>
          <w:sz w:val="24"/>
          <w:szCs w:val="24"/>
        </w:rPr>
        <w:t>N</w:t>
      </w:r>
      <w:r w:rsidR="006A16B3">
        <w:rPr>
          <w:rFonts w:ascii="Times New Roman" w:hAnsi="Times New Roman"/>
          <w:b/>
          <w:sz w:val="24"/>
          <w:szCs w:val="24"/>
        </w:rPr>
        <w:t>461</w:t>
      </w:r>
    </w:p>
    <w:p w:rsidR="00067490" w:rsidRDefault="00067490" w:rsidP="000674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6204B" w:rsidTr="00206675">
        <w:trPr>
          <w:trHeight w:val="1646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D26793" w:rsidP="00040D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О внесении изменений в постановление от </w:t>
            </w:r>
            <w:r w:rsidR="002B32C0">
              <w:rPr>
                <w:rFonts w:ascii="Times New Roman" w:hAnsi="Times New Roman"/>
                <w:sz w:val="23"/>
                <w:szCs w:val="23"/>
              </w:rPr>
              <w:t>09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  <w:r w:rsidR="002B32C0">
              <w:rPr>
                <w:rFonts w:ascii="Times New Roman" w:hAnsi="Times New Roman"/>
                <w:sz w:val="23"/>
                <w:szCs w:val="23"/>
              </w:rPr>
              <w:t>10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.2017 г. № </w:t>
            </w:r>
            <w:r w:rsidR="002B32C0">
              <w:rPr>
                <w:rFonts w:ascii="Times New Roman" w:hAnsi="Times New Roman"/>
                <w:sz w:val="23"/>
                <w:szCs w:val="23"/>
              </w:rPr>
              <w:t>413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="0002287D" w:rsidRPr="0002287D">
              <w:rPr>
                <w:rFonts w:ascii="Times New Roman" w:hAnsi="Times New Roman"/>
                <w:sz w:val="23"/>
                <w:szCs w:val="23"/>
              </w:rPr>
              <w:t xml:space="preserve">Об </w:t>
            </w:r>
            <w:r w:rsidR="002B32C0">
              <w:rPr>
                <w:rFonts w:ascii="Times New Roman" w:hAnsi="Times New Roman"/>
                <w:sz w:val="23"/>
                <w:szCs w:val="23"/>
              </w:rPr>
              <w:t>одобрении «Основных направлений бюджетной политики и налоговой политики Пудомягского сельского поселения на 2018 год и плановый период 2019 и 2020 годов»</w:t>
            </w:r>
          </w:p>
          <w:p w:rsidR="00D26793" w:rsidRPr="00206675" w:rsidRDefault="00D26793" w:rsidP="00040D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6204B" w:rsidRDefault="0016204B" w:rsidP="0006749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40D81" w:rsidRDefault="002B32C0" w:rsidP="0002287D">
      <w:pPr>
        <w:keepNext/>
        <w:tabs>
          <w:tab w:val="left" w:pos="3312"/>
          <w:tab w:val="left" w:pos="6264"/>
        </w:tabs>
        <w:spacing w:after="0"/>
        <w:ind w:right="74"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bCs/>
          <w:iCs/>
          <w:sz w:val="24"/>
          <w:szCs w:val="24"/>
        </w:rPr>
        <w:t>В соответствии со ст. 172, 184.2  Бюджетным кодексом Российской Федерации, Федеральным законом №131-ФЗ от 06.10.2003 года «Об общих принципах организации местного самоуправления РФ»,</w:t>
      </w:r>
      <w:r w:rsidRPr="002B32C0">
        <w:rPr>
          <w:rFonts w:ascii="Times New Roman" w:hAnsi="Times New Roman"/>
          <w:sz w:val="24"/>
          <w:szCs w:val="28"/>
        </w:rPr>
        <w:t xml:space="preserve"> </w:t>
      </w:r>
      <w:r w:rsidRPr="007112E5">
        <w:rPr>
          <w:rFonts w:ascii="Times New Roman" w:hAnsi="Times New Roman"/>
          <w:sz w:val="24"/>
          <w:szCs w:val="28"/>
        </w:rPr>
        <w:t xml:space="preserve">руководствуясь Положением о бюджетном процессе муниципального образования </w:t>
      </w:r>
      <w:r>
        <w:rPr>
          <w:rFonts w:ascii="Times New Roman" w:hAnsi="Times New Roman"/>
          <w:sz w:val="24"/>
          <w:szCs w:val="28"/>
        </w:rPr>
        <w:t>«Пудомягское</w:t>
      </w:r>
      <w:r w:rsidRPr="007112E5">
        <w:rPr>
          <w:rFonts w:ascii="Times New Roman" w:hAnsi="Times New Roman"/>
          <w:sz w:val="24"/>
          <w:szCs w:val="28"/>
        </w:rPr>
        <w:t xml:space="preserve"> сельское поселение</w:t>
      </w:r>
      <w:r>
        <w:rPr>
          <w:rFonts w:ascii="Times New Roman" w:hAnsi="Times New Roman"/>
          <w:sz w:val="24"/>
          <w:szCs w:val="28"/>
        </w:rPr>
        <w:t>»</w:t>
      </w:r>
      <w:r w:rsidRPr="007112E5">
        <w:rPr>
          <w:rFonts w:ascii="Times New Roman" w:hAnsi="Times New Roman"/>
          <w:sz w:val="24"/>
          <w:szCs w:val="28"/>
        </w:rPr>
        <w:t xml:space="preserve"> Гатчинского муниципального района Ленинградской области, утвержденным Решением Совета депутатов </w:t>
      </w:r>
      <w:r>
        <w:rPr>
          <w:rFonts w:ascii="Times New Roman" w:hAnsi="Times New Roman"/>
          <w:sz w:val="24"/>
          <w:szCs w:val="28"/>
        </w:rPr>
        <w:t>Пудомягского</w:t>
      </w:r>
      <w:r w:rsidRPr="007112E5">
        <w:rPr>
          <w:rFonts w:ascii="Times New Roman" w:hAnsi="Times New Roman"/>
          <w:sz w:val="24"/>
          <w:szCs w:val="28"/>
        </w:rPr>
        <w:t xml:space="preserve"> сельско</w:t>
      </w:r>
      <w:r>
        <w:rPr>
          <w:rFonts w:ascii="Times New Roman" w:hAnsi="Times New Roman"/>
          <w:sz w:val="24"/>
          <w:szCs w:val="28"/>
        </w:rPr>
        <w:t>го</w:t>
      </w:r>
      <w:r w:rsidRPr="007112E5">
        <w:rPr>
          <w:rFonts w:ascii="Times New Roman" w:hAnsi="Times New Roman"/>
          <w:sz w:val="24"/>
          <w:szCs w:val="28"/>
        </w:rPr>
        <w:t xml:space="preserve"> поселени</w:t>
      </w:r>
      <w:r>
        <w:rPr>
          <w:rFonts w:ascii="Times New Roman" w:hAnsi="Times New Roman"/>
          <w:sz w:val="24"/>
          <w:szCs w:val="28"/>
        </w:rPr>
        <w:t xml:space="preserve">я </w:t>
      </w:r>
      <w:r w:rsidRPr="007112E5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30</w:t>
      </w:r>
      <w:r w:rsidRPr="007112E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05</w:t>
      </w:r>
      <w:r w:rsidRPr="007112E5">
        <w:rPr>
          <w:rFonts w:ascii="Times New Roman" w:hAnsi="Times New Roman"/>
          <w:sz w:val="24"/>
          <w:szCs w:val="28"/>
        </w:rPr>
        <w:t>.2013  №</w:t>
      </w:r>
      <w:r>
        <w:rPr>
          <w:rFonts w:ascii="Times New Roman" w:hAnsi="Times New Roman"/>
          <w:sz w:val="24"/>
          <w:szCs w:val="28"/>
        </w:rPr>
        <w:t>238</w:t>
      </w:r>
      <w:r w:rsidRPr="007112E5">
        <w:rPr>
          <w:rFonts w:ascii="Times New Roman" w:hAnsi="Times New Roman"/>
          <w:sz w:val="24"/>
          <w:szCs w:val="28"/>
        </w:rPr>
        <w:t xml:space="preserve"> (в ред. от </w:t>
      </w:r>
      <w:r>
        <w:rPr>
          <w:rFonts w:ascii="Times New Roman" w:hAnsi="Times New Roman"/>
          <w:sz w:val="24"/>
          <w:szCs w:val="28"/>
        </w:rPr>
        <w:t>19</w:t>
      </w:r>
      <w:r w:rsidRPr="007112E5">
        <w:rPr>
          <w:rFonts w:ascii="Times New Roman" w:hAnsi="Times New Roman"/>
          <w:sz w:val="24"/>
          <w:szCs w:val="28"/>
        </w:rPr>
        <w:t>.1</w:t>
      </w:r>
      <w:r>
        <w:rPr>
          <w:rFonts w:ascii="Times New Roman" w:hAnsi="Times New Roman"/>
          <w:sz w:val="24"/>
          <w:szCs w:val="28"/>
        </w:rPr>
        <w:t>2</w:t>
      </w:r>
      <w:r w:rsidRPr="007112E5">
        <w:rPr>
          <w:rFonts w:ascii="Times New Roman" w:hAnsi="Times New Roman"/>
          <w:sz w:val="24"/>
          <w:szCs w:val="28"/>
        </w:rPr>
        <w:t>.2013 №2</w:t>
      </w:r>
      <w:r>
        <w:rPr>
          <w:rFonts w:ascii="Times New Roman" w:hAnsi="Times New Roman"/>
          <w:sz w:val="24"/>
          <w:szCs w:val="28"/>
        </w:rPr>
        <w:t>74</w:t>
      </w:r>
      <w:r w:rsidRPr="007112E5">
        <w:rPr>
          <w:rFonts w:ascii="Times New Roman" w:hAnsi="Times New Roman"/>
          <w:sz w:val="24"/>
          <w:szCs w:val="28"/>
        </w:rPr>
        <w:t xml:space="preserve">, от </w:t>
      </w:r>
      <w:r>
        <w:rPr>
          <w:rFonts w:ascii="Times New Roman" w:hAnsi="Times New Roman"/>
          <w:sz w:val="24"/>
          <w:szCs w:val="28"/>
        </w:rPr>
        <w:t>09</w:t>
      </w:r>
      <w:r w:rsidRPr="007112E5">
        <w:rPr>
          <w:rFonts w:ascii="Times New Roman" w:hAnsi="Times New Roman"/>
          <w:sz w:val="24"/>
          <w:szCs w:val="28"/>
        </w:rPr>
        <w:t>.</w:t>
      </w:r>
      <w:r>
        <w:rPr>
          <w:rFonts w:ascii="Times New Roman" w:hAnsi="Times New Roman"/>
          <w:sz w:val="24"/>
          <w:szCs w:val="28"/>
        </w:rPr>
        <w:t>11</w:t>
      </w:r>
      <w:r w:rsidRPr="007112E5">
        <w:rPr>
          <w:rFonts w:ascii="Times New Roman" w:hAnsi="Times New Roman"/>
          <w:sz w:val="24"/>
          <w:szCs w:val="28"/>
        </w:rPr>
        <w:t>.201</w:t>
      </w:r>
      <w:r>
        <w:rPr>
          <w:rFonts w:ascii="Times New Roman" w:hAnsi="Times New Roman"/>
          <w:sz w:val="24"/>
          <w:szCs w:val="28"/>
        </w:rPr>
        <w:t xml:space="preserve">7 </w:t>
      </w:r>
      <w:r w:rsidRPr="007112E5">
        <w:rPr>
          <w:rFonts w:ascii="Times New Roman" w:hAnsi="Times New Roman"/>
          <w:sz w:val="24"/>
          <w:szCs w:val="28"/>
        </w:rPr>
        <w:t>№</w:t>
      </w:r>
      <w:r>
        <w:rPr>
          <w:rFonts w:ascii="Times New Roman" w:hAnsi="Times New Roman"/>
          <w:sz w:val="24"/>
          <w:szCs w:val="28"/>
        </w:rPr>
        <w:t>176</w:t>
      </w:r>
      <w:r w:rsidRPr="007112E5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iCs/>
          <w:sz w:val="24"/>
          <w:szCs w:val="24"/>
        </w:rPr>
        <w:t>Уставом МО, администрация Пудомягского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сельского поселения </w:t>
      </w:r>
    </w:p>
    <w:p w:rsidR="0002287D" w:rsidRPr="0002287D" w:rsidRDefault="0002287D" w:rsidP="0002287D">
      <w:pPr>
        <w:keepNext/>
        <w:tabs>
          <w:tab w:val="left" w:pos="3312"/>
          <w:tab w:val="left" w:pos="6264"/>
        </w:tabs>
        <w:spacing w:after="0"/>
        <w:ind w:right="74" w:firstLine="567"/>
        <w:jc w:val="both"/>
        <w:outlineLvl w:val="1"/>
        <w:rPr>
          <w:rFonts w:ascii="Times New Roman" w:hAnsi="Times New Roman"/>
          <w:bCs/>
          <w:iCs/>
          <w:sz w:val="24"/>
          <w:szCs w:val="24"/>
        </w:rPr>
      </w:pPr>
      <w:r w:rsidRPr="0002287D">
        <w:rPr>
          <w:rFonts w:ascii="Times New Roman" w:hAnsi="Times New Roman"/>
          <w:b/>
          <w:bCs/>
          <w:iCs/>
          <w:sz w:val="24"/>
          <w:szCs w:val="24"/>
        </w:rPr>
        <w:t>ПОСТАНОВЛЯЕТ</w:t>
      </w:r>
      <w:r w:rsidRPr="0002287D">
        <w:rPr>
          <w:rFonts w:ascii="Times New Roman" w:hAnsi="Times New Roman"/>
          <w:bCs/>
          <w:iCs/>
          <w:sz w:val="24"/>
          <w:szCs w:val="24"/>
        </w:rPr>
        <w:t>:</w:t>
      </w:r>
    </w:p>
    <w:p w:rsidR="0002287D" w:rsidRPr="0002287D" w:rsidRDefault="0002287D" w:rsidP="0002287D">
      <w:pPr>
        <w:tabs>
          <w:tab w:val="left" w:pos="3060"/>
        </w:tabs>
        <w:spacing w:after="0" w:line="240" w:lineRule="auto"/>
        <w:ind w:left="1944"/>
        <w:jc w:val="both"/>
        <w:rPr>
          <w:rFonts w:ascii="Times New Roman" w:hAnsi="Times New Roman"/>
          <w:sz w:val="28"/>
          <w:szCs w:val="28"/>
        </w:rPr>
      </w:pPr>
      <w:r w:rsidRPr="0002287D">
        <w:rPr>
          <w:rFonts w:ascii="Times New Roman" w:hAnsi="Times New Roman"/>
          <w:sz w:val="28"/>
          <w:szCs w:val="28"/>
        </w:rPr>
        <w:tab/>
      </w:r>
    </w:p>
    <w:p w:rsidR="0002287D" w:rsidRDefault="00D26793" w:rsidP="0002287D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Приложение </w:t>
      </w:r>
      <w:r w:rsidR="002B32C0">
        <w:rPr>
          <w:rFonts w:ascii="Times New Roman" w:hAnsi="Times New Roman"/>
          <w:sz w:val="24"/>
          <w:szCs w:val="24"/>
        </w:rPr>
        <w:t xml:space="preserve">к постановлению администрации Пудомягского сельского поселения  от 09.10.2017 г. №413 </w:t>
      </w:r>
      <w:r w:rsidR="002B32C0">
        <w:rPr>
          <w:rFonts w:ascii="Times New Roman" w:hAnsi="Times New Roman"/>
          <w:sz w:val="23"/>
          <w:szCs w:val="23"/>
        </w:rPr>
        <w:t>«</w:t>
      </w:r>
      <w:r w:rsidR="002B32C0" w:rsidRPr="0002287D">
        <w:rPr>
          <w:rFonts w:ascii="Times New Roman" w:hAnsi="Times New Roman"/>
          <w:sz w:val="23"/>
          <w:szCs w:val="23"/>
        </w:rPr>
        <w:t xml:space="preserve">Об </w:t>
      </w:r>
      <w:r w:rsidR="002B32C0">
        <w:rPr>
          <w:rFonts w:ascii="Times New Roman" w:hAnsi="Times New Roman"/>
          <w:sz w:val="23"/>
          <w:szCs w:val="23"/>
        </w:rPr>
        <w:t xml:space="preserve">одобрении «Основных направлений бюджетной политики и налоговой политики Пудомягского сельского поселения на 2018 год и плановый период 2019 и 2020 годов» и изложить его в новой редакции </w:t>
      </w:r>
      <w:proofErr w:type="gramStart"/>
      <w:r w:rsidR="002B32C0">
        <w:rPr>
          <w:rFonts w:ascii="Times New Roman" w:hAnsi="Times New Roman"/>
          <w:sz w:val="23"/>
          <w:szCs w:val="23"/>
        </w:rPr>
        <w:t>согласно Приложения</w:t>
      </w:r>
      <w:proofErr w:type="gramEnd"/>
      <w:r w:rsidR="002B32C0">
        <w:rPr>
          <w:rFonts w:ascii="Times New Roman" w:hAnsi="Times New Roman"/>
          <w:sz w:val="23"/>
          <w:szCs w:val="23"/>
        </w:rPr>
        <w:t xml:space="preserve"> к данному постановлению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20BC1" w:rsidRPr="00523C6B" w:rsidRDefault="002B32C0" w:rsidP="00523C6B">
      <w:pPr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 вступает</w:t>
      </w:r>
      <w:r w:rsidR="002233D0">
        <w:rPr>
          <w:rFonts w:ascii="Times New Roman" w:hAnsi="Times New Roman"/>
          <w:sz w:val="24"/>
          <w:szCs w:val="24"/>
        </w:rPr>
        <w:t xml:space="preserve"> в силу с момента его принятия и подлежит опубликованию на официальном сайте.</w:t>
      </w:r>
    </w:p>
    <w:p w:rsidR="00206675" w:rsidRDefault="00206675" w:rsidP="00206675">
      <w:pPr>
        <w:spacing w:after="0" w:line="360" w:lineRule="exact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C20BC1" w:rsidRDefault="00C91061" w:rsidP="00C910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675">
        <w:rPr>
          <w:rFonts w:ascii="Times New Roman" w:hAnsi="Times New Roman"/>
          <w:sz w:val="24"/>
          <w:szCs w:val="24"/>
        </w:rPr>
        <w:t>Глав</w:t>
      </w:r>
      <w:r w:rsidR="00BD1C55" w:rsidRPr="00206675">
        <w:rPr>
          <w:rFonts w:ascii="Times New Roman" w:hAnsi="Times New Roman"/>
          <w:sz w:val="24"/>
          <w:szCs w:val="24"/>
        </w:rPr>
        <w:t>а</w:t>
      </w:r>
      <w:r w:rsidRPr="00206675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067490" w:rsidRDefault="00F813A7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6675">
        <w:rPr>
          <w:rFonts w:ascii="Times New Roman" w:hAnsi="Times New Roman"/>
          <w:sz w:val="24"/>
          <w:szCs w:val="24"/>
        </w:rPr>
        <w:t xml:space="preserve">Пудомягского сельского поселения                               </w:t>
      </w:r>
      <w:r w:rsidR="00BD1C55" w:rsidRPr="00206675">
        <w:rPr>
          <w:rFonts w:ascii="Times New Roman" w:hAnsi="Times New Roman"/>
          <w:sz w:val="24"/>
          <w:szCs w:val="24"/>
        </w:rPr>
        <w:t xml:space="preserve">           </w:t>
      </w:r>
      <w:r w:rsidRPr="00206675">
        <w:rPr>
          <w:rFonts w:ascii="Times New Roman" w:hAnsi="Times New Roman"/>
          <w:sz w:val="24"/>
          <w:szCs w:val="24"/>
        </w:rPr>
        <w:t xml:space="preserve"> </w:t>
      </w:r>
      <w:r w:rsidR="00DB2A1B" w:rsidRPr="00206675">
        <w:rPr>
          <w:rFonts w:ascii="Times New Roman" w:hAnsi="Times New Roman"/>
          <w:sz w:val="24"/>
          <w:szCs w:val="24"/>
        </w:rPr>
        <w:t xml:space="preserve">             </w:t>
      </w:r>
      <w:r w:rsidRPr="00206675">
        <w:rPr>
          <w:rFonts w:ascii="Times New Roman" w:hAnsi="Times New Roman"/>
          <w:sz w:val="24"/>
          <w:szCs w:val="24"/>
        </w:rPr>
        <w:t xml:space="preserve">                 </w:t>
      </w:r>
      <w:r w:rsidR="00BD1C55" w:rsidRPr="00206675">
        <w:rPr>
          <w:rFonts w:ascii="Times New Roman" w:hAnsi="Times New Roman"/>
          <w:sz w:val="24"/>
          <w:szCs w:val="24"/>
        </w:rPr>
        <w:t>Л.А. Ежова</w:t>
      </w:r>
      <w:r w:rsidR="00C91061">
        <w:rPr>
          <w:rFonts w:ascii="Times New Roman" w:hAnsi="Times New Roman"/>
          <w:sz w:val="28"/>
          <w:szCs w:val="28"/>
        </w:rPr>
        <w:tab/>
      </w:r>
    </w:p>
    <w:p w:rsidR="00206675" w:rsidRDefault="00206675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120B" w:rsidRDefault="0083120B" w:rsidP="00C910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2A1B" w:rsidRDefault="00DB2A1B" w:rsidP="0083120B">
      <w:pPr>
        <w:spacing w:after="0" w:line="240" w:lineRule="auto"/>
        <w:jc w:val="both"/>
        <w:rPr>
          <w:rFonts w:ascii="Times New Roman" w:hAnsi="Times New Roman"/>
        </w:rPr>
      </w:pPr>
    </w:p>
    <w:p w:rsidR="00040D81" w:rsidRDefault="00040D81" w:rsidP="00040D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Исполнитель: </w:t>
      </w:r>
      <w:r w:rsidR="00794CCE">
        <w:rPr>
          <w:rFonts w:ascii="Times New Roman" w:hAnsi="Times New Roman"/>
        </w:rPr>
        <w:t>Семенова Е.В.</w:t>
      </w:r>
    </w:p>
    <w:p w:rsidR="004A4B2B" w:rsidRPr="004A4B2B" w:rsidRDefault="00040D81" w:rsidP="004A4B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Тел.64-675</w:t>
      </w:r>
      <w:r w:rsidR="0002287D">
        <w:rPr>
          <w:rFonts w:ascii="Times New Roman" w:hAnsi="Times New Roman"/>
        </w:rPr>
        <w:br w:type="page"/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Cs w:val="28"/>
        </w:rPr>
      </w:pPr>
      <w:bookmarkStart w:id="0" w:name="_Toc335062241"/>
      <w:bookmarkStart w:id="1" w:name="_Toc335062356"/>
      <w:bookmarkStart w:id="2" w:name="_Toc303087359"/>
      <w:bookmarkStart w:id="3" w:name="_Toc303089596"/>
      <w:bookmarkStart w:id="4" w:name="_Toc335225997"/>
      <w:bookmarkStart w:id="5" w:name="_Toc335229916"/>
      <w:r>
        <w:rPr>
          <w:rFonts w:ascii="Times New Roman" w:hAnsi="Times New Roman"/>
          <w:szCs w:val="28"/>
        </w:rPr>
        <w:lastRenderedPageBreak/>
        <w:t>Приложение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left="4536"/>
        <w:jc w:val="right"/>
        <w:outlineLvl w:val="0"/>
        <w:rPr>
          <w:rFonts w:ascii="Times New Roman" w:hAnsi="Times New Roman"/>
          <w:szCs w:val="28"/>
        </w:rPr>
      </w:pPr>
      <w:r w:rsidRPr="002233D0">
        <w:rPr>
          <w:rFonts w:ascii="Times New Roman" w:hAnsi="Times New Roman"/>
          <w:szCs w:val="28"/>
        </w:rPr>
        <w:t>к постановлению администрации Пудомягского сельского поселения</w:t>
      </w: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left="567"/>
        <w:jc w:val="right"/>
        <w:outlineLvl w:val="0"/>
        <w:rPr>
          <w:rFonts w:ascii="Times New Roman" w:hAnsi="Times New Roman"/>
          <w:b/>
          <w:bCs/>
          <w:caps/>
          <w:sz w:val="16"/>
          <w:szCs w:val="20"/>
        </w:rPr>
      </w:pPr>
      <w:r w:rsidRPr="002233D0">
        <w:rPr>
          <w:rFonts w:ascii="Times New Roman" w:hAnsi="Times New Roman"/>
          <w:szCs w:val="28"/>
        </w:rPr>
        <w:t xml:space="preserve">от </w:t>
      </w:r>
      <w:r w:rsidR="00351FF0">
        <w:rPr>
          <w:rFonts w:ascii="Times New Roman" w:hAnsi="Times New Roman"/>
          <w:szCs w:val="28"/>
        </w:rPr>
        <w:t>05.10</w:t>
      </w:r>
      <w:r w:rsidRPr="002233D0">
        <w:rPr>
          <w:rFonts w:ascii="Times New Roman" w:hAnsi="Times New Roman"/>
          <w:szCs w:val="28"/>
        </w:rPr>
        <w:t>.2018 №</w:t>
      </w:r>
      <w:r w:rsidR="00351FF0">
        <w:rPr>
          <w:rFonts w:ascii="Times New Roman" w:hAnsi="Times New Roman"/>
          <w:szCs w:val="28"/>
        </w:rPr>
        <w:t>461</w:t>
      </w:r>
    </w:p>
    <w:p w:rsidR="002233D0" w:rsidRDefault="002233D0" w:rsidP="002233D0">
      <w:pPr>
        <w:keepNext/>
        <w:keepLines/>
        <w:widowControl w:val="0"/>
        <w:tabs>
          <w:tab w:val="left" w:pos="7512"/>
        </w:tabs>
        <w:spacing w:after="0" w:line="240" w:lineRule="auto"/>
        <w:ind w:left="567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aps/>
          <w:sz w:val="20"/>
          <w:szCs w:val="20"/>
        </w:rPr>
      </w:pPr>
      <w:r w:rsidRPr="002233D0">
        <w:rPr>
          <w:rFonts w:ascii="Times New Roman" w:hAnsi="Times New Roman"/>
          <w:b/>
          <w:bCs/>
          <w:caps/>
          <w:sz w:val="20"/>
          <w:szCs w:val="20"/>
        </w:rPr>
        <w:t>Администрация пудомягского сельского поселения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Times New Roman" w:hAnsi="Times New Roman"/>
          <w:sz w:val="52"/>
          <w:szCs w:val="52"/>
        </w:rPr>
      </w:pPr>
      <w:r w:rsidRPr="002233D0">
        <w:rPr>
          <w:rFonts w:ascii="Times New Roman" w:hAnsi="Times New Roman"/>
          <w:sz w:val="52"/>
          <w:szCs w:val="52"/>
        </w:rPr>
        <w:t>Основные направления бюджетной и налоговой политики Пудомягского сельского поселения на 2019 год и на плановый период 2020 и 2021 годов</w:t>
      </w: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aps/>
          <w:sz w:val="52"/>
          <w:szCs w:val="52"/>
        </w:rPr>
      </w:pP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aps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52"/>
          <w:szCs w:val="52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/>
          <w:sz w:val="24"/>
          <w:szCs w:val="24"/>
        </w:rPr>
      </w:pP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233D0">
        <w:rPr>
          <w:rFonts w:ascii="Times New Roman" w:hAnsi="Times New Roman"/>
          <w:b/>
          <w:bCs/>
          <w:caps/>
          <w:sz w:val="28"/>
          <w:szCs w:val="28"/>
        </w:rPr>
        <w:lastRenderedPageBreak/>
        <w:t xml:space="preserve">Основные показатели прогноза социально-экономического развития пудомягского </w:t>
      </w: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233D0">
        <w:rPr>
          <w:rFonts w:ascii="Times New Roman" w:hAnsi="Times New Roman"/>
          <w:b/>
          <w:bCs/>
          <w:caps/>
          <w:sz w:val="28"/>
          <w:szCs w:val="28"/>
        </w:rPr>
        <w:t>сельского поселения</w:t>
      </w:r>
    </w:p>
    <w:p w:rsidR="002233D0" w:rsidRPr="002233D0" w:rsidRDefault="002233D0" w:rsidP="002233D0">
      <w:pPr>
        <w:keepNext/>
        <w:keepLines/>
        <w:widowControl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2233D0">
        <w:rPr>
          <w:rFonts w:ascii="Times New Roman" w:hAnsi="Times New Roman"/>
          <w:b/>
          <w:bCs/>
          <w:caps/>
          <w:sz w:val="28"/>
          <w:szCs w:val="28"/>
        </w:rPr>
        <w:t>на 2019-2021 годы.</w:t>
      </w:r>
      <w:bookmarkEnd w:id="0"/>
      <w:bookmarkEnd w:id="1"/>
    </w:p>
    <w:bookmarkEnd w:id="2"/>
    <w:bookmarkEnd w:id="3"/>
    <w:bookmarkEnd w:id="4"/>
    <w:bookmarkEnd w:id="5"/>
    <w:p w:rsidR="002233D0" w:rsidRPr="002233D0" w:rsidRDefault="002233D0" w:rsidP="002233D0">
      <w:pPr>
        <w:widowControl w:val="0"/>
        <w:spacing w:before="120" w:after="120" w:line="240" w:lineRule="exact"/>
        <w:jc w:val="center"/>
        <w:outlineLvl w:val="1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233D0">
        <w:rPr>
          <w:rFonts w:ascii="Times New Roman" w:hAnsi="Times New Roman"/>
          <w:b/>
          <w:bCs/>
          <w:i/>
          <w:iCs/>
          <w:sz w:val="28"/>
          <w:szCs w:val="28"/>
        </w:rPr>
        <w:t>Основные показатели социально-экономического развития Пудомягского сельского поселения на 2019 - 2021 годы по крупным и средним предприятиям</w:t>
      </w:r>
    </w:p>
    <w:tbl>
      <w:tblPr>
        <w:tblpPr w:leftFromText="180" w:rightFromText="180" w:vertAnchor="text" w:horzAnchor="margin" w:tblpX="74" w:tblpY="171"/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559"/>
        <w:gridCol w:w="1276"/>
        <w:gridCol w:w="1276"/>
        <w:gridCol w:w="1276"/>
        <w:gridCol w:w="1310"/>
        <w:gridCol w:w="1134"/>
      </w:tblGrid>
      <w:tr w:rsidR="002233D0" w:rsidRPr="00FC1F22" w:rsidTr="00FC1F22">
        <w:trPr>
          <w:trHeight w:val="570"/>
        </w:trPr>
        <w:tc>
          <w:tcPr>
            <w:tcW w:w="2268" w:type="dxa"/>
            <w:shd w:val="clear" w:color="auto" w:fill="C0C0C0"/>
            <w:vAlign w:val="center"/>
          </w:tcPr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Показатели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2233D0" w:rsidRPr="00FC1F22" w:rsidRDefault="002233D0" w:rsidP="00FC1F22">
            <w:pPr>
              <w:widowControl w:val="0"/>
              <w:spacing w:before="40" w:after="4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2233D0" w:rsidRPr="00FC1F22" w:rsidRDefault="002233D0" w:rsidP="00FC1F22">
            <w:pPr>
              <w:widowControl w:val="0"/>
              <w:spacing w:before="40" w:after="4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2017</w:t>
            </w:r>
          </w:p>
          <w:p w:rsidR="002233D0" w:rsidRPr="00FC1F22" w:rsidRDefault="002233D0" w:rsidP="00FC1F22">
            <w:pPr>
              <w:widowControl w:val="0"/>
              <w:spacing w:before="40" w:after="40" w:line="240" w:lineRule="exact"/>
              <w:jc w:val="both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отчет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2018</w:t>
            </w:r>
          </w:p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оценка</w:t>
            </w:r>
          </w:p>
        </w:tc>
        <w:tc>
          <w:tcPr>
            <w:tcW w:w="1276" w:type="dxa"/>
            <w:shd w:val="clear" w:color="auto" w:fill="C0C0C0"/>
            <w:noWrap/>
            <w:vAlign w:val="center"/>
          </w:tcPr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2019 прогноз</w:t>
            </w:r>
          </w:p>
        </w:tc>
        <w:tc>
          <w:tcPr>
            <w:tcW w:w="1310" w:type="dxa"/>
            <w:shd w:val="clear" w:color="auto" w:fill="C0C0C0"/>
            <w:noWrap/>
            <w:vAlign w:val="center"/>
          </w:tcPr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2020</w:t>
            </w:r>
          </w:p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прогноз</w:t>
            </w:r>
          </w:p>
        </w:tc>
        <w:tc>
          <w:tcPr>
            <w:tcW w:w="1134" w:type="dxa"/>
            <w:shd w:val="clear" w:color="auto" w:fill="C0C0C0"/>
            <w:noWrap/>
            <w:vAlign w:val="center"/>
          </w:tcPr>
          <w:p w:rsidR="002233D0" w:rsidRPr="00FC1F22" w:rsidRDefault="002233D0" w:rsidP="00FC1F22">
            <w:pPr>
              <w:spacing w:after="0" w:line="240" w:lineRule="exact"/>
              <w:rPr>
                <w:rFonts w:ascii="Times New Roman" w:hAnsi="Times New Roman"/>
                <w:b/>
                <w:bCs/>
              </w:rPr>
            </w:pPr>
            <w:r w:rsidRPr="00FC1F22">
              <w:rPr>
                <w:rFonts w:ascii="Times New Roman" w:hAnsi="Times New Roman"/>
                <w:b/>
                <w:bCs/>
              </w:rPr>
              <w:t>2021 прогноз</w:t>
            </w:r>
          </w:p>
        </w:tc>
      </w:tr>
      <w:tr w:rsidR="002233D0" w:rsidRPr="00FC1F22" w:rsidTr="00FC1F22">
        <w:trPr>
          <w:trHeight w:val="432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Численность населения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 xml:space="preserve"> человек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6357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6305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6484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6491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6502</w:t>
            </w:r>
          </w:p>
        </w:tc>
      </w:tr>
      <w:tr w:rsidR="002233D0" w:rsidRPr="00FC1F22" w:rsidTr="00FC1F22">
        <w:trPr>
          <w:trHeight w:val="960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Индекс промышленного производства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% к предыдущему году в действующих ценах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99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102,3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102,5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102,5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103,0</w:t>
            </w:r>
          </w:p>
        </w:tc>
      </w:tr>
      <w:tr w:rsidR="002233D0" w:rsidRPr="00FC1F22" w:rsidTr="00FC1F22">
        <w:trPr>
          <w:trHeight w:val="712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Отгрузка</w:t>
            </w:r>
          </w:p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тыс. руб. в ценах соответствующих лет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156 000,0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165 97</w:t>
            </w:r>
            <w:bookmarkStart w:id="6" w:name="_GoBack"/>
            <w:bookmarkEnd w:id="6"/>
            <w:r w:rsidRPr="00FC1F22"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176 925,6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188 602,7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uto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202 031,</w:t>
            </w:r>
          </w:p>
        </w:tc>
      </w:tr>
      <w:tr w:rsidR="002233D0" w:rsidRPr="00FC1F22" w:rsidTr="00FC1F22">
        <w:trPr>
          <w:trHeight w:val="240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Объем продукции сельского хозяйства всех категорий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тыс. руб. в ценах соответствующих лет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13 000,0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13 979,7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14 553,4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15 123,0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15 750,0</w:t>
            </w:r>
          </w:p>
        </w:tc>
      </w:tr>
      <w:tr w:rsidR="002233D0" w:rsidRPr="00FC1F22" w:rsidTr="00FC1F22">
        <w:trPr>
          <w:trHeight w:val="240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Объем инвестиций в основной капитал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тыс. руб. в ценах соответствующих лет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6 275,0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6 609,8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6 989,7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7 420,9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7 902,4</w:t>
            </w:r>
          </w:p>
        </w:tc>
      </w:tr>
      <w:tr w:rsidR="002233D0" w:rsidRPr="00FC1F22" w:rsidTr="00FC1F22">
        <w:trPr>
          <w:trHeight w:val="240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 xml:space="preserve">Среднемесячная номинально начисленная заработная плата в расчете на одного работника 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33 770,2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32 727,11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34 036,19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35 397,64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36 813,5</w:t>
            </w:r>
          </w:p>
        </w:tc>
      </w:tr>
      <w:tr w:rsidR="002233D0" w:rsidRPr="00FC1F22" w:rsidTr="00FC1F22">
        <w:trPr>
          <w:trHeight w:val="240"/>
        </w:trPr>
        <w:tc>
          <w:tcPr>
            <w:tcW w:w="2268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Ввод в действие жилых домов</w:t>
            </w:r>
          </w:p>
        </w:tc>
        <w:tc>
          <w:tcPr>
            <w:tcW w:w="1559" w:type="dxa"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тыс. кв. м общей площади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  <w:highlight w:val="yellow"/>
              </w:rPr>
            </w:pPr>
            <w:r w:rsidRPr="00FC1F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0</w:t>
            </w:r>
          </w:p>
        </w:tc>
        <w:tc>
          <w:tcPr>
            <w:tcW w:w="1310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  <w:r w:rsidRPr="00FC1F2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2233D0" w:rsidRPr="00FC1F22" w:rsidRDefault="002233D0" w:rsidP="00FC1F22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</w:tr>
    </w:tbl>
    <w:p w:rsidR="002233D0" w:rsidRPr="002233D0" w:rsidRDefault="002233D0" w:rsidP="002233D0">
      <w:pPr>
        <w:widowControl w:val="0"/>
        <w:spacing w:before="40" w:after="4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2233D0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2233D0" w:rsidRPr="002233D0" w:rsidRDefault="002233D0" w:rsidP="002233D0">
      <w:pPr>
        <w:widowControl w:val="0"/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Основные подходы к формированию и прогноз доходов бюджета Пудомягского сельского поселения на 2019 и плановый период 2020 и 2021  года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center"/>
        <w:rPr>
          <w:rFonts w:ascii="Book Antiqua" w:hAnsi="Book Antiqua" w:cs="Book Antiqua"/>
          <w:b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Прогноз доходов бюджета Пудомягского сельского поселения на 2019 и плановый 2020-2021 год произведен на основе показателей текущего года, основных параметров прогноза социально-экономического развития  и с учетом предлагаемых к принятию изменений в налоговое законодательство.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b/>
          <w:bCs/>
          <w:sz w:val="24"/>
          <w:szCs w:val="24"/>
        </w:rPr>
        <w:t>Основные направления налоговой политики</w:t>
      </w:r>
      <w:r w:rsidRPr="002233D0">
        <w:rPr>
          <w:rFonts w:ascii="Times New Roman" w:hAnsi="Times New Roman"/>
          <w:sz w:val="24"/>
          <w:szCs w:val="24"/>
        </w:rPr>
        <w:t xml:space="preserve"> Пудомягского сельского поселения на 2019 и плановый 2020-2021 год подготовлены в рамках составления проекта бюджета Пудомягского сельского поселения,  в соответствии со статьями 172, 184.2 Бюджетного кодекса Российской Федерации (далее – Бюджетный кодекс).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 Бюджетная и налоговая политика Пудомягского сельского поселения на 2019 год и на плановый период 2020 и 2021 годов в области доходов будет выстраиваться с учетом реализации изменений федерального законодательства.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lastRenderedPageBreak/>
        <w:t>При формировании проекта бюджета поселения на 2019 и плановый 2020-2021 год учитывалось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в действие с 1 января 2019 года.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Изменения, которые произойдут в налоговой сфере, затронут порядок исчисления отдельных федеральных налогов, формирующих доходную часть местных бюджетов Ленинградской области. </w:t>
      </w:r>
    </w:p>
    <w:p w:rsidR="002233D0" w:rsidRPr="002233D0" w:rsidRDefault="002233D0" w:rsidP="002233D0">
      <w:pPr>
        <w:widowControl w:val="0"/>
        <w:spacing w:before="40" w:after="40" w:line="240" w:lineRule="auto"/>
        <w:ind w:right="1" w:firstLine="567"/>
        <w:jc w:val="both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Налог на доходы физических лиц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bCs/>
          <w:sz w:val="24"/>
          <w:szCs w:val="24"/>
        </w:rPr>
        <w:t xml:space="preserve">С 1 января 2015 года вступает в силу новые правила предоставления имущественного налогового вычета по НДФЛ. </w:t>
      </w:r>
      <w:r w:rsidRPr="002233D0">
        <w:rPr>
          <w:rFonts w:ascii="Times New Roman" w:hAnsi="Times New Roman"/>
          <w:sz w:val="24"/>
          <w:szCs w:val="24"/>
        </w:rPr>
        <w:t>Изменения, внесенные в статью 220 Налогового кодекса РФ, предусматривают, в частности: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возможность получения имущественного налогового вычета по расходам на приобретение (строительство) нескольких объектов недвижимости (жилья) до полного использования его предельного размера 2 млн. рублей. Имущественный вычет по расходам на погашение процентов по целевым займам (кредитам), фактически израсходованным на новое строительство (приобретение) жилья может быть предоставлен только в отношении одного объекта недвижимости, в сумме не более 3 млн. рублей;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возможность родителей (опекунов, попечителей) получить имущественные налоговые вычеты в отношении объектов недвижимости (жилья), приобретенных в собственность их несовершеннолетних детей (подопечных).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Новые правила применяются к правоотношениям по предоставлению налоговых вычетов, возникшим после дня вступления в силу указанного Федерального закона, то есть после 1 января 2015 года.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Акцизы на нефтепродукты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В бюджетном послании губернатора Ленобласти о целях бюджетной политики на 2019-2021 года обозначены дополнительные поступления в бюджеты муниципальных образований акцизов на нефтепродукты по дифференцированным нормативам, исходя из зачисления в местные бюджеты 10 % налоговых доходов консолидированного бюджета Ленинградской области от указанного налога.  Средства будут направлены на формирование дорожных фондов муниципальных образований.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Специальные налоговые режимы</w:t>
      </w:r>
    </w:p>
    <w:p w:rsidR="002233D0" w:rsidRPr="002233D0" w:rsidRDefault="002233D0" w:rsidP="002233D0">
      <w:pPr>
        <w:widowControl w:val="0"/>
        <w:tabs>
          <w:tab w:val="left" w:pos="0"/>
        </w:tabs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Проектом областного закона "Об установлении единых нормативов отчислений в бюджеты муниципальных районов (городских округов) Ленинградской области от налога, взимаемого в связи с применением упрощенной системы налогообложения" с 1 января 2014 года предусмотрен единый норматив отчислений в бюджеты муниципальных районов (городских округов) Ленинградской области в размере 100 процентов.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В 2013 году сумма страховых взносов, уплачиваемых </w:t>
      </w:r>
      <w:proofErr w:type="spellStart"/>
      <w:r w:rsidRPr="002233D0">
        <w:rPr>
          <w:rFonts w:ascii="Times New Roman" w:hAnsi="Times New Roman"/>
          <w:sz w:val="24"/>
          <w:szCs w:val="24"/>
        </w:rPr>
        <w:t>самозанятым</w:t>
      </w:r>
      <w:proofErr w:type="spellEnd"/>
      <w:r w:rsidRPr="002233D0">
        <w:rPr>
          <w:rFonts w:ascii="Times New Roman" w:hAnsi="Times New Roman"/>
          <w:sz w:val="24"/>
          <w:szCs w:val="24"/>
        </w:rPr>
        <w:t xml:space="preserve"> населением в фиксированных размерах, увеличилась по сравнению с 2012 годом почти в 2 раза. В целях смягчения негативных последствий повышения страховой нагрузки Федеральным законом от 23.07.2013 №237-ФЗ с 1 января 2014 года определен порядок исчисления страховых взносов, учитывающий величину полученного индивидуальным предпринимателем дохода: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 - при величине годового дохода менее 300 тысяч рублей страховой взнос исчисляется как произведение МРОТ и тарифа страховых взносов, увеличенное в 12 раз;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при величине годового дохода свыше 300 тысяч рублей - как произведение МРОТ и тарифа страховых взносов, увеличенное в 12 раз, плюс один процент от суммы превышения величины фактически полученного дохода над установленной величиной в 300 тысяч рублей.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Помимо этого установлен порядок определения полученного дохода для разных категорий налогоплательщиков (в том числе применяющих специальные режимы налогообложения).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Транспортный налог</w:t>
      </w:r>
    </w:p>
    <w:p w:rsidR="002233D0" w:rsidRPr="002233D0" w:rsidRDefault="002233D0" w:rsidP="002233D0">
      <w:pPr>
        <w:widowControl w:val="0"/>
        <w:autoSpaceDE w:val="0"/>
        <w:autoSpaceDN w:val="0"/>
        <w:adjustRightInd w:val="0"/>
        <w:spacing w:before="4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bCs/>
          <w:sz w:val="24"/>
          <w:szCs w:val="24"/>
        </w:rPr>
        <w:t>С 2016 доходы в бюджет поселений транспортный налог отменен.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/>
          <w:bCs/>
          <w:iCs/>
          <w:sz w:val="24"/>
          <w:szCs w:val="24"/>
        </w:rPr>
        <w:lastRenderedPageBreak/>
        <w:t xml:space="preserve"> Налог на имущество физических лиц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2233D0">
        <w:rPr>
          <w:rFonts w:ascii="Times New Roman" w:eastAsia="Calibri" w:hAnsi="Times New Roman"/>
          <w:bCs/>
          <w:iCs/>
          <w:sz w:val="24"/>
          <w:szCs w:val="24"/>
        </w:rPr>
        <w:t>К объектам налогообложения по налогу на недвижимое имущество отнесены расположенные в пределах муниципального образования (городов федерального значения Москвы и Санкт-Петербурга) здания, строения, сооружения, жилые и нежилые помещения, объекты незавершенного капитального строительства, а также земельные участки, на котором располагают объекты капитального строительства или объекты незавершенного капитального строительства.</w:t>
      </w:r>
      <w:proofErr w:type="gramEnd"/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В качестве налоговой базы для исчисления налога на недвижимое имущество применяется кадастровая стоимость объекта налогообложения, определенная на 1 января года, являющегося налоговым периодом.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Налоговый вычет предлагается предоставлять всем налогоплательщикам в отношении жилого помещения, а также жилого строения, расположенного на земельном участке в садоводческом или дачном некоммерческом объединении, в размере кадастровой стоимости 50 квадратных метров соответствующего объекта налогообложения.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В отношении объектов налогообложения, кадастровая стоимость которых составляет до 300 млн. рублей включительно, налоговые ставки устанавливаются нормативными правовыми актами представительных органов муниципальных образований (законами городов федерального значения Москвы и Санкт-Петербурга) в размерах, не превышающих: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- 0,1% в отношении жилых помещений, в том числе жилых домов (строений), расположенных на земельных участках в садоводческих, огороднических и дачных некоммерческих объединениях, а также в отношении объектов незавершенного капитального строительства, относящихся к указанным объектам;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- 0,5% в отношении объектов капитального строительства и объектов незавершенного капитального строительства, не относящихся к жилищному фонду;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- 0,3% в отношении земельных участков: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2233D0">
        <w:rPr>
          <w:rFonts w:ascii="Times New Roman" w:eastAsia="Calibri" w:hAnsi="Times New Roman"/>
          <w:bCs/>
          <w:iCs/>
          <w:sz w:val="24"/>
          <w:szCs w:val="24"/>
        </w:rPr>
        <w:t>занятых</w:t>
      </w:r>
      <w:proofErr w:type="gramEnd"/>
      <w:r w:rsidRPr="002233D0">
        <w:rPr>
          <w:rFonts w:ascii="Times New Roman" w:eastAsia="Calibri" w:hAnsi="Times New Roman"/>
          <w:bCs/>
          <w:iCs/>
          <w:sz w:val="24"/>
          <w:szCs w:val="24"/>
        </w:rPr>
        <w:t xml:space="preserve"> жилищным фондом (за исключением доли в праве на земельный участок, приходящейся на объект, не относящийся к жилищному фонду) или приобретенных (предоставленных) для жилищного строительства;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proofErr w:type="gramStart"/>
      <w:r w:rsidRPr="002233D0">
        <w:rPr>
          <w:rFonts w:ascii="Times New Roman" w:eastAsia="Calibri" w:hAnsi="Times New Roman"/>
          <w:bCs/>
          <w:iCs/>
          <w:sz w:val="24"/>
          <w:szCs w:val="24"/>
        </w:rPr>
        <w:t>приобретенных</w:t>
      </w:r>
      <w:proofErr w:type="gramEnd"/>
      <w:r w:rsidRPr="002233D0">
        <w:rPr>
          <w:rFonts w:ascii="Times New Roman" w:eastAsia="Calibri" w:hAnsi="Times New Roman"/>
          <w:bCs/>
          <w:iCs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- 1,5% в отношении прочих земельных участков.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В отношении объектов налогообложения, совокупная кадастровая стоимость которых превышает 300 млн. рублей (за исключением объектов капитального строительства и незавершенного капитального строительства, кадастровая стоимость каждого из которых превышает 300 млн. рублей), устанавливаются повышенные налоговые ставки в размере не превышающем: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- 0,5% в отношении объектов капитального строительства и объектов незавершенного капитального строительства, вне зависимости от их принадлежности к жилищному фонду;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- 1,5% в отношении земельных участков, вне зависимости от категории земли и разрешенного использования земельного участка.</w:t>
      </w:r>
    </w:p>
    <w:p w:rsidR="002233D0" w:rsidRPr="002233D0" w:rsidRDefault="002233D0" w:rsidP="002233D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iCs/>
          <w:sz w:val="24"/>
          <w:szCs w:val="24"/>
        </w:rPr>
      </w:pPr>
      <w:r w:rsidRPr="002233D0">
        <w:rPr>
          <w:rFonts w:ascii="Times New Roman" w:eastAsia="Calibri" w:hAnsi="Times New Roman"/>
          <w:bCs/>
          <w:iCs/>
          <w:sz w:val="24"/>
          <w:szCs w:val="24"/>
        </w:rPr>
        <w:t>В отношении объектов капитального строительства и незавершенного капитального строительства, кадастровая стоимость каждого из которых превышает 300 млн. рублей, налоговые ставки устанавливаются в размере от 0,5 до 1 процента включительно.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napToGrid w:val="0"/>
          <w:sz w:val="24"/>
          <w:szCs w:val="24"/>
        </w:rPr>
      </w:pPr>
      <w:r w:rsidRPr="002233D0">
        <w:rPr>
          <w:rFonts w:ascii="Times New Roman" w:hAnsi="Times New Roman"/>
          <w:snapToGrid w:val="0"/>
          <w:sz w:val="24"/>
          <w:szCs w:val="24"/>
        </w:rPr>
        <w:t xml:space="preserve">Для увеличения доходной части бюджета </w:t>
      </w:r>
      <w:r w:rsidRPr="002233D0">
        <w:rPr>
          <w:rFonts w:ascii="Times New Roman" w:hAnsi="Times New Roman"/>
          <w:sz w:val="24"/>
          <w:szCs w:val="24"/>
        </w:rPr>
        <w:t>Пудомягского сельского поселения</w:t>
      </w:r>
      <w:r w:rsidRPr="002233D0">
        <w:rPr>
          <w:rFonts w:ascii="Times New Roman" w:hAnsi="Times New Roman"/>
          <w:snapToGrid w:val="0"/>
          <w:sz w:val="24"/>
          <w:szCs w:val="24"/>
        </w:rPr>
        <w:t xml:space="preserve"> необходимо принятие действенных мер по повышению налогового потенциала, в том числе:</w:t>
      </w:r>
    </w:p>
    <w:p w:rsidR="002233D0" w:rsidRPr="002233D0" w:rsidRDefault="002233D0" w:rsidP="002233D0">
      <w:pPr>
        <w:widowControl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- осуществление анализа обоснованности, эффективности и целесообразности предоставления налоговых льгот, установленных нормативными правовыми актами органов местного самоуправления;  </w:t>
      </w:r>
    </w:p>
    <w:p w:rsidR="002233D0" w:rsidRPr="002233D0" w:rsidRDefault="002233D0" w:rsidP="002233D0">
      <w:pPr>
        <w:widowControl w:val="0"/>
        <w:spacing w:before="40" w:after="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33D0">
        <w:rPr>
          <w:rFonts w:ascii="Times New Roman" w:hAnsi="Times New Roman"/>
          <w:bCs/>
          <w:sz w:val="24"/>
          <w:szCs w:val="24"/>
        </w:rPr>
        <w:t xml:space="preserve">- проведение целенаправленных мероприятий </w:t>
      </w:r>
      <w:proofErr w:type="gramStart"/>
      <w:r w:rsidRPr="002233D0">
        <w:rPr>
          <w:rFonts w:ascii="Times New Roman" w:hAnsi="Times New Roman"/>
          <w:bCs/>
          <w:sz w:val="24"/>
          <w:szCs w:val="24"/>
        </w:rPr>
        <w:t>по сокращению имеющейся задолженности по налогам в рамках работы комиссий по неплатежам в бюджет</w:t>
      </w:r>
      <w:proofErr w:type="gramEnd"/>
      <w:r w:rsidRPr="002233D0">
        <w:rPr>
          <w:rFonts w:ascii="Times New Roman" w:hAnsi="Times New Roman"/>
          <w:bCs/>
          <w:sz w:val="24"/>
          <w:szCs w:val="24"/>
        </w:rPr>
        <w:t>;</w:t>
      </w:r>
    </w:p>
    <w:p w:rsidR="002233D0" w:rsidRPr="002233D0" w:rsidRDefault="002233D0" w:rsidP="002233D0">
      <w:pPr>
        <w:widowControl w:val="0"/>
        <w:spacing w:before="40" w:after="40" w:line="240" w:lineRule="auto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lastRenderedPageBreak/>
        <w:t>- систематическая работа с организациями, которые в качестве налогового агента не перечисляют в бюджет налог на доходы физических лиц, удержанный с работников, нарушая тем самым налоговое законодательство;</w:t>
      </w:r>
    </w:p>
    <w:p w:rsidR="002233D0" w:rsidRPr="002233D0" w:rsidRDefault="002233D0" w:rsidP="002233D0">
      <w:pPr>
        <w:widowControl w:val="0"/>
        <w:spacing w:before="40" w:after="4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233D0">
        <w:rPr>
          <w:rFonts w:ascii="Times New Roman" w:hAnsi="Times New Roman"/>
          <w:bCs/>
          <w:sz w:val="24"/>
          <w:szCs w:val="24"/>
        </w:rPr>
        <w:t>- работу по легализации заработной платы, повышению её уровня всеми работодателями не ниже величины прожиточного минимума для трудоспособного населения, установленного в Ленинградской области.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Существенным аспектом налоговой политики будет также являться продолжение совершенствования налогового администрирования, что окажет положительное влияние на уровень доходной базы за счет повышения собираемости налоговых платежей во все уровни бюджетной системы, а также увеличения количества налогоплательщиков, работающих на территории Пудомягского сельского поселения. При этом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Все вышеперечисленные меры, проводимые в рамках реализации налоговой политики, должны обеспечить поддержание сбалансированности бюджета Пудомягского сельского поселения, что позволит осуществлять финансирование расходных обязательств в полном объеме.</w:t>
      </w:r>
      <w:r w:rsidRPr="002233D0">
        <w:rPr>
          <w:rFonts w:ascii="Times New Roman" w:hAnsi="Times New Roman"/>
          <w:bCs/>
          <w:sz w:val="24"/>
          <w:szCs w:val="24"/>
        </w:rPr>
        <w:t xml:space="preserve"> </w:t>
      </w:r>
      <w:r w:rsidRPr="002233D0">
        <w:rPr>
          <w:rFonts w:ascii="Times New Roman" w:hAnsi="Times New Roman"/>
          <w:sz w:val="24"/>
          <w:szCs w:val="24"/>
        </w:rPr>
        <w:t xml:space="preserve">               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Основные цели и задачи бюджетной политики  Пудомягского сельского поселения на 2019-2021 годы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Задачи</w:t>
      </w:r>
      <w:r w:rsidRPr="002233D0">
        <w:rPr>
          <w:rFonts w:ascii="Times New Roman" w:hAnsi="Times New Roman"/>
          <w:sz w:val="24"/>
          <w:szCs w:val="24"/>
        </w:rPr>
        <w:t xml:space="preserve"> дальнейшего экономического   и социального  развития   района в 2019-2021 годах должны решаться с обязательным обеспечением долгосрочной сбалансированности и устойчивости бюджетной системы. Необходимо  стремиться к повышению фактической результативности и отдачи от исполнения бюджетных расходов наряду с сокращением размера и стоимости финансовых заимствований, привлекаемых для финансирования дефицита бюджета.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Бюджетная и налоговая политика Пудомягского сельского поселения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Пудомягского сельского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защищенности.</w:t>
      </w:r>
      <w:r w:rsidRPr="002233D0">
        <w:rPr>
          <w:rFonts w:ascii="Times New Roman" w:hAnsi="Times New Roman"/>
          <w:sz w:val="24"/>
          <w:szCs w:val="24"/>
        </w:rPr>
        <w:br/>
      </w:r>
      <w:r w:rsidRPr="002233D0">
        <w:rPr>
          <w:rFonts w:ascii="Times New Roman" w:hAnsi="Times New Roman"/>
          <w:b/>
          <w:sz w:val="24"/>
          <w:szCs w:val="24"/>
        </w:rPr>
        <w:t xml:space="preserve">         Целью</w:t>
      </w:r>
      <w:r w:rsidRPr="002233D0">
        <w:rPr>
          <w:rFonts w:ascii="Times New Roman" w:hAnsi="Times New Roman"/>
          <w:sz w:val="24"/>
          <w:szCs w:val="24"/>
        </w:rPr>
        <w:t xml:space="preserve"> Основных направлений бюджетной и налоговой политики является определение условий, используемых при составлении проекта бюджета </w:t>
      </w:r>
      <w:proofErr w:type="gramStart"/>
      <w:r w:rsidRPr="002233D0">
        <w:rPr>
          <w:rFonts w:ascii="Times New Roman" w:hAnsi="Times New Roman"/>
          <w:sz w:val="24"/>
          <w:szCs w:val="24"/>
        </w:rPr>
        <w:t>г</w:t>
      </w:r>
      <w:proofErr w:type="gramEnd"/>
      <w:r w:rsidRPr="002233D0">
        <w:rPr>
          <w:rFonts w:ascii="Times New Roman" w:hAnsi="Times New Roman"/>
          <w:sz w:val="24"/>
          <w:szCs w:val="24"/>
        </w:rPr>
        <w:t xml:space="preserve"> Пудомягского сельского поселения на 2019 год и на плановый период 2020 и 2021 годов, подходов к его формированию, основных характеристик и прогнозируемых параметров до 2021 года, а также обеспечение прозрачности и открытости бюджетного планирования.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Основным источником</w:t>
      </w:r>
      <w:r w:rsidRPr="002233D0">
        <w:rPr>
          <w:rFonts w:ascii="Times New Roman" w:hAnsi="Times New Roman"/>
          <w:sz w:val="24"/>
          <w:szCs w:val="24"/>
        </w:rPr>
        <w:t xml:space="preserve"> для повышения эффективности планирования и исполнения бюджета должно явиться улучшение качества экономических проработок и   обоснований   бюджетных    расходов    на   этапе    их    утверждения в условиях перехода на программную структуру, а также повышение прозрачности и </w:t>
      </w:r>
      <w:proofErr w:type="gramStart"/>
      <w:r w:rsidRPr="002233D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2233D0">
        <w:rPr>
          <w:rFonts w:ascii="Times New Roman" w:hAnsi="Times New Roman"/>
          <w:sz w:val="24"/>
          <w:szCs w:val="24"/>
        </w:rPr>
        <w:t xml:space="preserve"> исполнением утвержденных планов в процессе подготовки перехода на электронный бюджет.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2233D0">
        <w:rPr>
          <w:rFonts w:ascii="Times New Roman" w:hAnsi="Times New Roman"/>
          <w:b/>
          <w:bCs/>
          <w:sz w:val="24"/>
          <w:szCs w:val="24"/>
        </w:rPr>
        <w:t>Итоги реализации бюджетной и налоговой политики в 2018 году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По итогам исполнения бюджета МО </w:t>
      </w:r>
      <w:r w:rsidRPr="002233D0">
        <w:rPr>
          <w:rFonts w:ascii="Times New Roman" w:hAnsi="Times New Roman"/>
          <w:i/>
          <w:sz w:val="24"/>
          <w:szCs w:val="24"/>
        </w:rPr>
        <w:t xml:space="preserve">«Пудомягское сельское поселение» </w:t>
      </w:r>
      <w:r w:rsidRPr="002233D0">
        <w:rPr>
          <w:rFonts w:ascii="Times New Roman" w:hAnsi="Times New Roman"/>
          <w:sz w:val="24"/>
          <w:szCs w:val="24"/>
        </w:rPr>
        <w:t>по состоянию на отчетную дату</w:t>
      </w:r>
      <w:r w:rsidRPr="002233D0">
        <w:rPr>
          <w:rFonts w:ascii="Times New Roman" w:hAnsi="Times New Roman"/>
          <w:i/>
          <w:sz w:val="24"/>
          <w:szCs w:val="24"/>
        </w:rPr>
        <w:t>:</w:t>
      </w:r>
    </w:p>
    <w:p w:rsidR="002233D0" w:rsidRPr="002233D0" w:rsidRDefault="002233D0" w:rsidP="002233D0">
      <w:pPr>
        <w:widowControl w:val="0"/>
        <w:numPr>
          <w:ilvl w:val="0"/>
          <w:numId w:val="7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Бюджетные назначения по доходам бюджета МО на 2017 год составляли – 15 943,13 тыс. руб., в том числе: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– по налоговым доходам – 15 071,34 тыс. руб. (94,5% от общей суммы), 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– по неналоговым доходам – 871,79 тыс. руб. (5,5 % от общей суммы).</w:t>
      </w:r>
    </w:p>
    <w:p w:rsidR="002233D0" w:rsidRPr="002233D0" w:rsidRDefault="002233D0" w:rsidP="002233D0">
      <w:pPr>
        <w:widowControl w:val="0"/>
        <w:numPr>
          <w:ilvl w:val="0"/>
          <w:numId w:val="7"/>
        </w:numPr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За отчетный период в бюджет МО поступило – 23 449,56 тыс. руб. (147,08 % от бюджетных назначений на 2017 год), в том числе: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– по налоговым доходам – 22 248,81 тыс. руб. (147,62 % от бюджетных назначений на 2017 год), 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lastRenderedPageBreak/>
        <w:t>– по неналоговым доходам – 1 200,75 тыс. руб. (137,73 % от бюджетных назначений на 2017 год).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По сравнению с АППГ поступление налоговых и неналоговых доходов увеличилось на 3 006,1 тыс. руб., или на 14,7 %, в том числе: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– по налоговым доходам – на 2 607,9 тыс. руб. (13,28 %), </w:t>
      </w:r>
    </w:p>
    <w:p w:rsidR="002233D0" w:rsidRPr="002233D0" w:rsidRDefault="002233D0" w:rsidP="00223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– по неналоговым доходам – на 398,2 тыс. руб. (49,62 %).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2233D0" w:rsidRPr="002233D0" w:rsidRDefault="002233D0" w:rsidP="002233D0">
      <w:pPr>
        <w:widowControl w:val="0"/>
        <w:tabs>
          <w:tab w:val="left" w:pos="0"/>
          <w:tab w:val="left" w:pos="142"/>
        </w:tabs>
        <w:spacing w:before="40" w:after="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33D0">
        <w:rPr>
          <w:rFonts w:ascii="Times New Roman" w:hAnsi="Times New Roman"/>
          <w:b/>
          <w:sz w:val="24"/>
          <w:szCs w:val="24"/>
        </w:rPr>
        <w:t>Основными целями бюджетной политики на 2019-2021  год и  среднесрочную перспективу являются: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233D0" w:rsidRPr="002233D0" w:rsidRDefault="002233D0" w:rsidP="002233D0">
      <w:pPr>
        <w:widowControl w:val="0"/>
        <w:tabs>
          <w:tab w:val="left" w:pos="851"/>
        </w:tabs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1)</w:t>
      </w:r>
      <w:r w:rsidRPr="002233D0">
        <w:rPr>
          <w:rFonts w:ascii="Times New Roman" w:hAnsi="Times New Roman"/>
          <w:sz w:val="24"/>
          <w:szCs w:val="24"/>
        </w:rPr>
        <w:tab/>
        <w:t>Преобразование бюджетной политики в инструмент реализации социально-экономической политики.</w:t>
      </w:r>
    </w:p>
    <w:p w:rsidR="002233D0" w:rsidRPr="002233D0" w:rsidRDefault="002233D0" w:rsidP="002233D0">
      <w:pPr>
        <w:widowControl w:val="0"/>
        <w:tabs>
          <w:tab w:val="left" w:pos="851"/>
        </w:tabs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2)</w:t>
      </w:r>
      <w:r w:rsidRPr="002233D0">
        <w:rPr>
          <w:rFonts w:ascii="Times New Roman" w:hAnsi="Times New Roman"/>
          <w:sz w:val="24"/>
          <w:szCs w:val="24"/>
        </w:rPr>
        <w:tab/>
        <w:t xml:space="preserve">Повышение качества предоставления муниципальных  услуг. </w:t>
      </w:r>
    </w:p>
    <w:p w:rsidR="002233D0" w:rsidRPr="002233D0" w:rsidRDefault="002233D0" w:rsidP="002233D0">
      <w:pPr>
        <w:widowControl w:val="0"/>
        <w:tabs>
          <w:tab w:val="left" w:pos="851"/>
        </w:tabs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3)</w:t>
      </w:r>
      <w:r w:rsidRPr="002233D0">
        <w:rPr>
          <w:rFonts w:ascii="Times New Roman" w:hAnsi="Times New Roman"/>
          <w:sz w:val="24"/>
          <w:szCs w:val="24"/>
        </w:rPr>
        <w:tab/>
        <w:t>Обеспечение макроэкономической стабильности и бюджетной устойчивости.</w:t>
      </w:r>
    </w:p>
    <w:p w:rsidR="002233D0" w:rsidRPr="002233D0" w:rsidRDefault="002233D0" w:rsidP="002233D0">
      <w:pPr>
        <w:widowControl w:val="0"/>
        <w:tabs>
          <w:tab w:val="left" w:pos="851"/>
        </w:tabs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4)</w:t>
      </w:r>
      <w:r w:rsidRPr="002233D0">
        <w:rPr>
          <w:rFonts w:ascii="Times New Roman" w:hAnsi="Times New Roman"/>
          <w:sz w:val="24"/>
          <w:szCs w:val="24"/>
        </w:rPr>
        <w:tab/>
        <w:t>Дальнейшее совершенствование межбюджетных отношений.</w:t>
      </w:r>
    </w:p>
    <w:p w:rsidR="002233D0" w:rsidRPr="002233D0" w:rsidRDefault="002233D0" w:rsidP="002233D0">
      <w:pPr>
        <w:widowControl w:val="0"/>
        <w:tabs>
          <w:tab w:val="left" w:pos="851"/>
        </w:tabs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5)</w:t>
      </w:r>
      <w:r w:rsidRPr="002233D0">
        <w:rPr>
          <w:rFonts w:ascii="Times New Roman" w:hAnsi="Times New Roman"/>
          <w:sz w:val="24"/>
          <w:szCs w:val="24"/>
        </w:rPr>
        <w:tab/>
        <w:t>Совершенствование налоговой политики.</w:t>
      </w:r>
    </w:p>
    <w:p w:rsidR="002233D0" w:rsidRPr="002233D0" w:rsidRDefault="002233D0" w:rsidP="002233D0">
      <w:pPr>
        <w:widowControl w:val="0"/>
        <w:tabs>
          <w:tab w:val="left" w:pos="851"/>
        </w:tabs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6)</w:t>
      </w:r>
      <w:r w:rsidRPr="002233D0">
        <w:rPr>
          <w:rFonts w:ascii="Times New Roman" w:hAnsi="Times New Roman"/>
          <w:sz w:val="24"/>
          <w:szCs w:val="24"/>
        </w:rPr>
        <w:tab/>
        <w:t>Обеспечение прозрачности и открытости бюджетного процесса.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Преобразование бюджетной политики в инструмент реализации социально-экономической политики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Механизмы социально-экономической политики должны иметь надежное, точно просчитанное бюджетное обеспечение. Должны быть четко определены объемы бюджетного финансирования, необходимые для достижения конкретных количественно определенных целей социально-экономической политики.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Необходимо уходить от оценки исполнения бюджета в виде фиксации расходования средств </w:t>
      </w:r>
      <w:proofErr w:type="gramStart"/>
      <w:r w:rsidRPr="002233D0">
        <w:rPr>
          <w:rFonts w:ascii="Times New Roman" w:hAnsi="Times New Roman"/>
          <w:sz w:val="24"/>
          <w:szCs w:val="24"/>
        </w:rPr>
        <w:t>на те</w:t>
      </w:r>
      <w:proofErr w:type="gramEnd"/>
      <w:r w:rsidRPr="002233D0">
        <w:rPr>
          <w:rFonts w:ascii="Times New Roman" w:hAnsi="Times New Roman"/>
          <w:sz w:val="24"/>
          <w:szCs w:val="24"/>
        </w:rPr>
        <w:t xml:space="preserve"> или иные цели. Критерием должно стать достижение целей социально-экономической политики, на финансовое обеспечение которых направляются бюджетные средства.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Если бюджетные средства израсходованы в большем объеме, чем намечено, а цель достигнута в меньшей степени, чем определено, то в каждом подобном случае необходимо выявлять и устранять причины такого результата использования бюджетных ассигнований.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Бюджетные инвестиции должны быть настроены на повышение качества предпринимательского и инвестиционного климата. За счет бюджетных средств не должны осуществляться инвестиционные расходы, создающие конкуренцию частным инвестициям. Наоборот, бюджетные инвестиции в экономику должны стимулировать рост частных инвестиций, способствовать формированию современной транспортной и инженерной инфраструктуры.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При планировании перехода на «программный бюджет» необходимо обеспечить согласованность региональных и федеральных и муниципальных целевых программ.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Необходимо уточнить и дополнить систему критериев оценки рассматриваемых программ с целью эффективного использования средств бюджета для максимизации социально-экономических результатов от их реализации. 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Формирование и исполнение «программного бюджета» должны сопровождаться внедрением современной интегрированной информационной системы управления общественными финансами «Электронный бюджет», которая должна позволить перейти на качественно новый уровень управления муниципальными финансами и создать инструментарий для принятия обоснованных управленческих решений в целях повышения эффективности и результативности бюджетных расходов.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Система «Электронный бюджет» должна обеспечивать прозрачность финансово-</w:t>
      </w:r>
      <w:r w:rsidRPr="002233D0">
        <w:rPr>
          <w:rFonts w:ascii="Times New Roman" w:hAnsi="Times New Roman"/>
          <w:sz w:val="24"/>
          <w:szCs w:val="24"/>
        </w:rPr>
        <w:lastRenderedPageBreak/>
        <w:t>хозяйственной деятельности каждого отдельного участника бюджетного процесса, гарантировать достоверность открытость и подотчетность их деятельности, предусматривать возможность участия граждан, общественных институтов, профессиональных сообществ, бизнеса и контролирующих организаций в процессах формирования, утверждения и исполнения бюджета.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Задачи создания электронного бюджета: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- Контролировать бюджетные назначения, иметь доступ к информации </w:t>
      </w:r>
      <w:proofErr w:type="gramStart"/>
      <w:r w:rsidRPr="002233D0">
        <w:rPr>
          <w:rFonts w:ascii="Times New Roman" w:hAnsi="Times New Roman"/>
          <w:sz w:val="24"/>
          <w:szCs w:val="24"/>
        </w:rPr>
        <w:t>о</w:t>
      </w:r>
      <w:proofErr w:type="gramEnd"/>
      <w:r w:rsidRPr="002233D0">
        <w:rPr>
          <w:rFonts w:ascii="Times New Roman" w:hAnsi="Times New Roman"/>
          <w:sz w:val="24"/>
          <w:szCs w:val="24"/>
        </w:rPr>
        <w:t xml:space="preserve"> установленных лимитах бюджетных обязательств, состоянии единого казначейского счета, кассовом исполнении бюджетов;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Показывать финансовое состояние публичных платежных обязательств;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Измерять объем, стоимость и качество результатов муниципальных услуг.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Направления создания системы «Электронный бюджет»: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Дематериализовать носители информации, обеспечить применение единых реестров и классификаторов;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Обеспечить однократность ввода информации;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Внедрить стандарты бизнес-процессов;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Обеспечить круглосуточный доступ к электронной информации.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Повышение качества государственных услуг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Прежде всего, повышение качества муниципальных  услуг необходимо столь значимым для общества сферам, как образование, здравоохранение и культура. От успешности действий в этих сферах непосредственно зависят условия жизни населения. Эффективность осуществления бюджетных расходов в этих сферах справедливо принимается в расчет и при оценке качества инвестиционного климата, поскольку эти расходы рассматриваются как инвестиции в человеческий капитал. Несмотря на увеличение бюджетных расходов в последние годы, достигнутые результаты не удовлетворяют граждан. Причина состоит в медленном реформировании отраслей социальной сферы и в неэффективной системе материального и морального стимулирования работников. Неэффективно с точки зрения использования бюджетных средств и несправедливо по отношению к гражданам, когда одинаково финансируются организации, предоставляющие как качественные, так и некачественные услуги, когда одинаково оплачивается труд как добросовестных, так и недобросовестных работников.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3D0">
        <w:rPr>
          <w:rFonts w:ascii="Times New Roman" w:hAnsi="Times New Roman"/>
          <w:sz w:val="24"/>
          <w:szCs w:val="24"/>
        </w:rPr>
        <w:t xml:space="preserve">Нормативно-правовая база для отказа от сметного финансирования учреждений и введения новой системы оплаты труда уже создана (83-ФЗ от 23 апреля </w:t>
      </w:r>
      <w:smartTag w:uri="urn:schemas-microsoft-com:office:smarttags" w:element="metricconverter">
        <w:smartTagPr>
          <w:attr w:name="ProductID" w:val="2010 г"/>
        </w:smartTagPr>
        <w:r w:rsidRPr="002233D0">
          <w:rPr>
            <w:rFonts w:ascii="Times New Roman" w:hAnsi="Times New Roman"/>
            <w:sz w:val="24"/>
            <w:szCs w:val="24"/>
          </w:rPr>
          <w:t>2010 г</w:t>
        </w:r>
      </w:smartTag>
      <w:r w:rsidRPr="002233D0">
        <w:rPr>
          <w:rFonts w:ascii="Times New Roman" w:hAnsi="Times New Roman"/>
          <w:sz w:val="24"/>
          <w:szCs w:val="24"/>
        </w:rPr>
        <w:t xml:space="preserve">. и 20-ОЗ от 5 декабря </w:t>
      </w:r>
      <w:smartTag w:uri="urn:schemas-microsoft-com:office:smarttags" w:element="metricconverter">
        <w:smartTagPr>
          <w:attr w:name="ProductID" w:val="2011 г"/>
        </w:smartTagPr>
        <w:r w:rsidRPr="002233D0">
          <w:rPr>
            <w:rFonts w:ascii="Times New Roman" w:hAnsi="Times New Roman"/>
            <w:sz w:val="24"/>
            <w:szCs w:val="24"/>
          </w:rPr>
          <w:t>2011 г</w:t>
        </w:r>
      </w:smartTag>
      <w:r w:rsidRPr="002233D0">
        <w:rPr>
          <w:rFonts w:ascii="Times New Roman" w:hAnsi="Times New Roman"/>
          <w:sz w:val="24"/>
          <w:szCs w:val="24"/>
        </w:rPr>
        <w:t>. Существует задача – повсеместно внедрить ее и обеспечить практическую реализацию уже предусмотренного законодательством нового механизма финансирования муниципальных учреждений.</w:t>
      </w:r>
      <w:proofErr w:type="gramEnd"/>
      <w:r w:rsidRPr="002233D0">
        <w:rPr>
          <w:rFonts w:ascii="Times New Roman" w:hAnsi="Times New Roman"/>
          <w:sz w:val="24"/>
          <w:szCs w:val="24"/>
        </w:rPr>
        <w:t xml:space="preserve"> При решении данной задачи можно выделить следующие основные этапы: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- Ревизия оказываемых  муниципальных  услуг на предмет уточнения их перечня, организаций-исполнителей, уровня качества и стоимости услуги;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- Составление «дорожной карты» и спецификации каждой из услуг, определение стандартов качества и единой себестоимости;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- Выработка предложений и мероприятий по внедрению единых стандартов качества и </w:t>
      </w:r>
      <w:proofErr w:type="gramStart"/>
      <w:r w:rsidRPr="002233D0">
        <w:rPr>
          <w:rFonts w:ascii="Times New Roman" w:hAnsi="Times New Roman"/>
          <w:sz w:val="24"/>
          <w:szCs w:val="24"/>
        </w:rPr>
        <w:t>обеспечении</w:t>
      </w:r>
      <w:proofErr w:type="gramEnd"/>
      <w:r w:rsidRPr="002233D0">
        <w:rPr>
          <w:rFonts w:ascii="Times New Roman" w:hAnsi="Times New Roman"/>
          <w:sz w:val="24"/>
          <w:szCs w:val="24"/>
        </w:rPr>
        <w:t xml:space="preserve"> единой себестоимости и эффективности оказываемых услуг. 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Одновременно в самих учреждениях оказывающих муниципальные услуги необходимо обеспечить переход к «эффективному контракту», который должен четко определять условия оплаты труда и «социальный пакет» работника в зависимости от качества и количества выполняемой им работы. Применение «эффективного контракта» также призвано повысить конкурентоспособность государства как работодателя на региональных рынках труда и сопоставимость стоимости труда в государственном, муниципальном и частном секторах экономики.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Этапы перехода к «эффективному контракту» должны быть увязаны с конкретными </w:t>
      </w:r>
      <w:r w:rsidRPr="002233D0">
        <w:rPr>
          <w:rFonts w:ascii="Times New Roman" w:hAnsi="Times New Roman"/>
          <w:sz w:val="24"/>
          <w:szCs w:val="24"/>
        </w:rPr>
        <w:lastRenderedPageBreak/>
        <w:t xml:space="preserve">структурными и институциональными изменениями в отраслях социальной сферы, направленными на повышение эффективности образования, культуры, здравоохранения.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При предоставлении государственных и муниципальных услуг недопустимо ориентироваться исключительно на возможности муниципальных учреждений. Если необходимая услуга может быть предоставлена за те же деньги и более качественно частными организациями, то у них ее и следует заказывать. Граждане должны иметь возможность выбора организации, предоставляющей услуги за счет бюджетных средств.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Осуществление структурных изменений, наряду с финансированием из бюджетов всех уровней, должно привести к увеличению заработной платы работников учреждений культуры.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3D0">
        <w:rPr>
          <w:rFonts w:ascii="Times New Roman" w:hAnsi="Times New Roman"/>
          <w:sz w:val="24"/>
          <w:szCs w:val="24"/>
        </w:rPr>
        <w:t xml:space="preserve">В соответствии   с   поручениями   Президента   РФ  во   исполнение  Указов  от  7 мая </w:t>
      </w:r>
      <w:smartTag w:uri="urn:schemas-microsoft-com:office:smarttags" w:element="metricconverter">
        <w:smartTagPr>
          <w:attr w:name="ProductID" w:val="2012 г"/>
        </w:smartTagPr>
        <w:r w:rsidRPr="002233D0">
          <w:rPr>
            <w:rFonts w:ascii="Times New Roman" w:hAnsi="Times New Roman"/>
            <w:sz w:val="24"/>
            <w:szCs w:val="24"/>
          </w:rPr>
          <w:t>2012 г</w:t>
        </w:r>
      </w:smartTag>
      <w:r w:rsidRPr="002233D0">
        <w:rPr>
          <w:rFonts w:ascii="Times New Roman" w:hAnsi="Times New Roman"/>
          <w:sz w:val="24"/>
          <w:szCs w:val="24"/>
        </w:rPr>
        <w:t xml:space="preserve">. Органами местного самоуправления  необходимо обеспечить предоставление муниципальных услуг по принципу «одного окна», предусмотрев при этом подготовку предложений о внесении изменений в нормативные правовые акты, регулирующие предоставление муниципальных услуг, в частности, касающейся исключения норм,   препятствующих   предоставлению таких услуг по принципу «одного окна». </w:t>
      </w:r>
      <w:proofErr w:type="gramEnd"/>
    </w:p>
    <w:p w:rsidR="002233D0" w:rsidRPr="002233D0" w:rsidRDefault="002233D0" w:rsidP="002233D0">
      <w:pPr>
        <w:spacing w:before="100" w:beforeAutospacing="1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2233D0">
        <w:rPr>
          <w:rFonts w:ascii="Times New Roman" w:hAnsi="Times New Roman"/>
          <w:b/>
          <w:bCs/>
          <w:i/>
          <w:sz w:val="24"/>
          <w:szCs w:val="24"/>
        </w:rPr>
        <w:t>Основные подходы к формированию бюджетных расходов на 2019-2021 годы</w:t>
      </w:r>
    </w:p>
    <w:p w:rsidR="002233D0" w:rsidRPr="002233D0" w:rsidRDefault="002233D0" w:rsidP="0022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Предельные объемы бюджетных ассигнований бюджета Пудомягского сельского поселения на реализацию муниципальных программ и направлений деятельности, не входящие в муниципальные программы, на 2019-2021 годы сформированы на основе следующих основных подходов:</w:t>
      </w:r>
    </w:p>
    <w:p w:rsidR="002233D0" w:rsidRPr="002233D0" w:rsidRDefault="002233D0" w:rsidP="0022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233D0">
        <w:rPr>
          <w:rFonts w:ascii="Times New Roman" w:hAnsi="Times New Roman"/>
          <w:sz w:val="24"/>
          <w:szCs w:val="24"/>
        </w:rPr>
        <w:t xml:space="preserve">1) в качестве объемов бюджетных ассигнований на исполнение действующих обязательств на 2019-2020 годы приняты расходы, утвержденные решением Совета депутатов от 19.12.2017 г. № 191 «О  бюджете муниципального образования «Пудомягское сельское поселение» Гатчинского муниципального района Ленинградской области на 2018 год и плановый 2019 и 2020 года» в первоначальной редакции, объемы 2021 года приняты равными объемам 2020 года. </w:t>
      </w:r>
      <w:proofErr w:type="gramEnd"/>
    </w:p>
    <w:p w:rsidR="002233D0" w:rsidRPr="002233D0" w:rsidRDefault="002233D0" w:rsidP="0022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2) объем бюджетных ассигнований на исполнение принимаемых обязательств на 2019-2021 годы определен исходя из допустимого размера дефицита местного бюджета.</w:t>
      </w:r>
    </w:p>
    <w:p w:rsidR="002233D0" w:rsidRPr="002233D0" w:rsidRDefault="002233D0" w:rsidP="0022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 xml:space="preserve">3) в соответствии со статьей 184.1 Бюджетного кодекса Российской Федерации в составе расходов местного бюджета предусмотрены условно утверждаемые расходы, которые составят в 2020 году не менее 2,5% от общего объема расходов 2019 года и в 2021 году не менее 5,0 % от общего объема расходов 2019 года. </w:t>
      </w:r>
    </w:p>
    <w:p w:rsidR="002233D0" w:rsidRPr="002233D0" w:rsidRDefault="002233D0" w:rsidP="002233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233D0">
        <w:rPr>
          <w:rFonts w:ascii="Times New Roman" w:hAnsi="Times New Roman"/>
          <w:sz w:val="24"/>
          <w:szCs w:val="24"/>
        </w:rPr>
        <w:t>В составе условно утверждаемых расходов планового периода предлагается учесть расходы на исполнение расходных обязательств, бюджетные ассигнования по которым зависят от макроэкономических показателей, и могут быть уточнены при формировании проекта местного бюджета в следующем бюджетном цикле.</w:t>
      </w:r>
    </w:p>
    <w:p w:rsidR="002233D0" w:rsidRPr="002233D0" w:rsidRDefault="002233D0" w:rsidP="002233D0">
      <w:pPr>
        <w:keepNext/>
        <w:widowControl w:val="0"/>
        <w:spacing w:before="240" w:after="60" w:line="240" w:lineRule="auto"/>
        <w:ind w:firstLine="142"/>
        <w:jc w:val="center"/>
        <w:outlineLvl w:val="1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233D0">
        <w:rPr>
          <w:rFonts w:ascii="Times New Roman" w:hAnsi="Times New Roman"/>
          <w:b/>
          <w:bCs/>
          <w:i/>
          <w:iCs/>
          <w:sz w:val="24"/>
          <w:szCs w:val="24"/>
        </w:rPr>
        <w:t>Расходы на оплату труда работникам бюджетной сферы</w:t>
      </w:r>
    </w:p>
    <w:p w:rsidR="002233D0" w:rsidRPr="002233D0" w:rsidRDefault="002233D0" w:rsidP="002233D0">
      <w:pPr>
        <w:widowControl w:val="0"/>
        <w:spacing w:after="0" w:line="240" w:lineRule="atLeast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3D0">
        <w:rPr>
          <w:rFonts w:ascii="Times New Roman" w:hAnsi="Times New Roman"/>
          <w:bCs/>
          <w:iCs/>
          <w:sz w:val="24"/>
          <w:szCs w:val="24"/>
        </w:rPr>
        <w:t xml:space="preserve">     Во исполнение Указа Президента Российской Федерации по реализации государственной социальной политики № 597 от 7 мая </w:t>
      </w:r>
      <w:smartTag w:uri="urn:schemas-microsoft-com:office:smarttags" w:element="metricconverter">
        <w:smartTagPr>
          <w:attr w:name="ProductID" w:val="2012 г"/>
        </w:smartTagPr>
        <w:r w:rsidRPr="002233D0">
          <w:rPr>
            <w:rFonts w:ascii="Times New Roman" w:hAnsi="Times New Roman"/>
            <w:bCs/>
            <w:iCs/>
            <w:sz w:val="24"/>
            <w:szCs w:val="24"/>
          </w:rPr>
          <w:t>2012 г</w:t>
        </w:r>
      </w:smartTag>
      <w:r w:rsidRPr="002233D0">
        <w:rPr>
          <w:rFonts w:ascii="Times New Roman" w:hAnsi="Times New Roman"/>
          <w:bCs/>
          <w:iCs/>
          <w:sz w:val="24"/>
          <w:szCs w:val="24"/>
        </w:rPr>
        <w:t>. в 2018-2020 году  в части повышения заработных плат работникам бюджетной сферы планируются следующие действия:</w:t>
      </w:r>
    </w:p>
    <w:p w:rsidR="002233D0" w:rsidRPr="002233D0" w:rsidRDefault="002233D0" w:rsidP="002233D0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iCs/>
          <w:color w:val="000080"/>
          <w:sz w:val="24"/>
          <w:szCs w:val="24"/>
        </w:rPr>
      </w:pPr>
      <w:r w:rsidRPr="002233D0">
        <w:rPr>
          <w:rFonts w:ascii="Times New Roman" w:hAnsi="Times New Roman"/>
          <w:bCs/>
          <w:iCs/>
          <w:sz w:val="24"/>
          <w:szCs w:val="24"/>
        </w:rPr>
        <w:t>В целях обеспечения выполнения обязатель</w:t>
      </w:r>
      <w:proofErr w:type="gramStart"/>
      <w:r w:rsidRPr="002233D0">
        <w:rPr>
          <w:rFonts w:ascii="Times New Roman" w:hAnsi="Times New Roman"/>
          <w:bCs/>
          <w:iCs/>
          <w:sz w:val="24"/>
          <w:szCs w:val="24"/>
        </w:rPr>
        <w:t>ств ст</w:t>
      </w:r>
      <w:proofErr w:type="gramEnd"/>
      <w:r w:rsidRPr="002233D0">
        <w:rPr>
          <w:rFonts w:ascii="Times New Roman" w:hAnsi="Times New Roman"/>
          <w:bCs/>
          <w:iCs/>
          <w:sz w:val="24"/>
          <w:szCs w:val="24"/>
        </w:rPr>
        <w:t>орон к рамочному Ленинградскому областному трехстороннему соглашению о проведении социально-экономической политики и развитии социального партнерства увеличивается базовая расчетная величина зарплаты работников бюджетной сферы, применяемая для расчета должностных окладов, ставок заработной платы для работников бюджетной сферы: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3D0">
        <w:rPr>
          <w:rFonts w:ascii="Times New Roman" w:hAnsi="Times New Roman"/>
          <w:bCs/>
          <w:iCs/>
          <w:sz w:val="24"/>
          <w:szCs w:val="24"/>
        </w:rPr>
        <w:t xml:space="preserve">с 1 января 2019 года  установлена расчетная величина  в размере  9 555 руб., 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2233D0">
        <w:rPr>
          <w:rFonts w:ascii="Times New Roman" w:hAnsi="Times New Roman"/>
          <w:bCs/>
          <w:iCs/>
          <w:sz w:val="24"/>
          <w:szCs w:val="24"/>
        </w:rPr>
        <w:t>с 1 января 2019 года размер индексации окладов месячных денежных содержаний муниципальных служащих, месячных должностных окладов работников, замещающих должности, не являющиеся должностями муниципальной  службы, 1,04.</w:t>
      </w: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67"/>
        <w:jc w:val="both"/>
        <w:rPr>
          <w:rFonts w:ascii="Book Antiqua" w:hAnsi="Book Antiqua" w:cs="Book Antiqua"/>
          <w:sz w:val="24"/>
          <w:szCs w:val="24"/>
        </w:rPr>
      </w:pPr>
    </w:p>
    <w:p w:rsidR="002233D0" w:rsidRPr="002233D0" w:rsidRDefault="002233D0" w:rsidP="002233D0">
      <w:pPr>
        <w:widowControl w:val="0"/>
        <w:spacing w:before="40" w:after="4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2287D" w:rsidRPr="00081D97" w:rsidRDefault="0002287D" w:rsidP="002233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2287D" w:rsidRPr="00081D97" w:rsidSect="00FC1F22">
      <w:headerReference w:type="default" r:id="rId10"/>
      <w:pgSz w:w="11906" w:h="16838"/>
      <w:pgMar w:top="-851" w:right="99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8F1" w:rsidRDefault="009C28F1">
      <w:pPr>
        <w:spacing w:after="0" w:line="240" w:lineRule="auto"/>
      </w:pPr>
      <w:r>
        <w:separator/>
      </w:r>
    </w:p>
  </w:endnote>
  <w:endnote w:type="continuationSeparator" w:id="0">
    <w:p w:rsidR="009C28F1" w:rsidRDefault="009C2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8F1" w:rsidRDefault="009C28F1">
      <w:pPr>
        <w:spacing w:after="0" w:line="240" w:lineRule="auto"/>
      </w:pPr>
      <w:r>
        <w:separator/>
      </w:r>
    </w:p>
  </w:footnote>
  <w:footnote w:type="continuationSeparator" w:id="0">
    <w:p w:rsidR="009C28F1" w:rsidRDefault="009C2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A1B" w:rsidRDefault="00DB2A1B" w:rsidP="00DB2A1B">
    <w:pPr>
      <w:pStyle w:val="a3"/>
      <w:jc w:val="right"/>
    </w:pPr>
  </w:p>
  <w:p w:rsidR="00DB2A1B" w:rsidRDefault="00DB2A1B" w:rsidP="00DB2A1B">
    <w:pPr>
      <w:pStyle w:val="a3"/>
    </w:pPr>
  </w:p>
  <w:p w:rsidR="00DB2A1B" w:rsidRDefault="00DB2A1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6CF"/>
    <w:multiLevelType w:val="hybridMultilevel"/>
    <w:tmpl w:val="4C92C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20A07"/>
    <w:multiLevelType w:val="hybridMultilevel"/>
    <w:tmpl w:val="72C8F6DC"/>
    <w:lvl w:ilvl="0" w:tplc="D12E88AA">
      <w:start w:val="6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366C0109"/>
    <w:multiLevelType w:val="hybridMultilevel"/>
    <w:tmpl w:val="AFA832A4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5FA512D1"/>
    <w:multiLevelType w:val="hybridMultilevel"/>
    <w:tmpl w:val="D0FCD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A6C787A"/>
    <w:multiLevelType w:val="hybridMultilevel"/>
    <w:tmpl w:val="A86CCBF4"/>
    <w:lvl w:ilvl="0" w:tplc="57CC8654">
      <w:start w:val="1"/>
      <w:numFmt w:val="decimal"/>
      <w:lvlText w:val="%1."/>
      <w:lvlJc w:val="left"/>
      <w:pPr>
        <w:ind w:left="2125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9B84C7F"/>
    <w:multiLevelType w:val="hybridMultilevel"/>
    <w:tmpl w:val="8FAC6582"/>
    <w:lvl w:ilvl="0" w:tplc="B0403AFE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823CC0"/>
    <w:multiLevelType w:val="multilevel"/>
    <w:tmpl w:val="E19EF74C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61"/>
    <w:rsid w:val="0001551B"/>
    <w:rsid w:val="0002287D"/>
    <w:rsid w:val="000255CD"/>
    <w:rsid w:val="000331BA"/>
    <w:rsid w:val="00035303"/>
    <w:rsid w:val="00040D81"/>
    <w:rsid w:val="00067490"/>
    <w:rsid w:val="00081D97"/>
    <w:rsid w:val="00084F73"/>
    <w:rsid w:val="00087876"/>
    <w:rsid w:val="000A0541"/>
    <w:rsid w:val="000A62FD"/>
    <w:rsid w:val="000E78F2"/>
    <w:rsid w:val="000F56C9"/>
    <w:rsid w:val="000F5A91"/>
    <w:rsid w:val="00105970"/>
    <w:rsid w:val="0011449B"/>
    <w:rsid w:val="0012406A"/>
    <w:rsid w:val="0014590D"/>
    <w:rsid w:val="001461D5"/>
    <w:rsid w:val="001515DE"/>
    <w:rsid w:val="0016204B"/>
    <w:rsid w:val="00171422"/>
    <w:rsid w:val="00175B29"/>
    <w:rsid w:val="00181638"/>
    <w:rsid w:val="00182C06"/>
    <w:rsid w:val="00195DE3"/>
    <w:rsid w:val="001B02BB"/>
    <w:rsid w:val="001B29D2"/>
    <w:rsid w:val="001B66E1"/>
    <w:rsid w:val="001C61F8"/>
    <w:rsid w:val="001D0D2F"/>
    <w:rsid w:val="001E0E19"/>
    <w:rsid w:val="001E1A15"/>
    <w:rsid w:val="001F1E69"/>
    <w:rsid w:val="001F57F1"/>
    <w:rsid w:val="00206675"/>
    <w:rsid w:val="002068DC"/>
    <w:rsid w:val="0022005F"/>
    <w:rsid w:val="002233D0"/>
    <w:rsid w:val="0022386F"/>
    <w:rsid w:val="00232E50"/>
    <w:rsid w:val="00242A69"/>
    <w:rsid w:val="002438D4"/>
    <w:rsid w:val="002473C5"/>
    <w:rsid w:val="002826A5"/>
    <w:rsid w:val="00283F70"/>
    <w:rsid w:val="00284488"/>
    <w:rsid w:val="0028793D"/>
    <w:rsid w:val="00294441"/>
    <w:rsid w:val="002A5CA6"/>
    <w:rsid w:val="002B111C"/>
    <w:rsid w:val="002B32C0"/>
    <w:rsid w:val="002C0625"/>
    <w:rsid w:val="002C65B7"/>
    <w:rsid w:val="002C6C93"/>
    <w:rsid w:val="002D19D8"/>
    <w:rsid w:val="002D418C"/>
    <w:rsid w:val="002D5F07"/>
    <w:rsid w:val="002E422A"/>
    <w:rsid w:val="002F1739"/>
    <w:rsid w:val="002F67A4"/>
    <w:rsid w:val="00305E39"/>
    <w:rsid w:val="00317B91"/>
    <w:rsid w:val="003352A0"/>
    <w:rsid w:val="00341473"/>
    <w:rsid w:val="00351345"/>
    <w:rsid w:val="00351FF0"/>
    <w:rsid w:val="00353403"/>
    <w:rsid w:val="00360F64"/>
    <w:rsid w:val="0037688C"/>
    <w:rsid w:val="00396F3E"/>
    <w:rsid w:val="003A0007"/>
    <w:rsid w:val="003A5A69"/>
    <w:rsid w:val="003B434C"/>
    <w:rsid w:val="003B6BF5"/>
    <w:rsid w:val="003B735C"/>
    <w:rsid w:val="003C1931"/>
    <w:rsid w:val="003F03DA"/>
    <w:rsid w:val="004040E3"/>
    <w:rsid w:val="00422C8D"/>
    <w:rsid w:val="00423CA4"/>
    <w:rsid w:val="00427920"/>
    <w:rsid w:val="004307DA"/>
    <w:rsid w:val="0043535D"/>
    <w:rsid w:val="00460F6B"/>
    <w:rsid w:val="00466999"/>
    <w:rsid w:val="0049043D"/>
    <w:rsid w:val="004A4B2B"/>
    <w:rsid w:val="004B3D78"/>
    <w:rsid w:val="004B4FE7"/>
    <w:rsid w:val="004E2360"/>
    <w:rsid w:val="004F12E4"/>
    <w:rsid w:val="00504375"/>
    <w:rsid w:val="005051FF"/>
    <w:rsid w:val="00521A80"/>
    <w:rsid w:val="0052256F"/>
    <w:rsid w:val="005227C4"/>
    <w:rsid w:val="00523C6B"/>
    <w:rsid w:val="00524DC8"/>
    <w:rsid w:val="00534216"/>
    <w:rsid w:val="005342D1"/>
    <w:rsid w:val="0054064A"/>
    <w:rsid w:val="00542EE3"/>
    <w:rsid w:val="00566293"/>
    <w:rsid w:val="0056750A"/>
    <w:rsid w:val="00570A02"/>
    <w:rsid w:val="005839E5"/>
    <w:rsid w:val="00584EC4"/>
    <w:rsid w:val="00586054"/>
    <w:rsid w:val="005A10B5"/>
    <w:rsid w:val="005A16C6"/>
    <w:rsid w:val="005B3AF0"/>
    <w:rsid w:val="005B7423"/>
    <w:rsid w:val="005C0E64"/>
    <w:rsid w:val="005E02E6"/>
    <w:rsid w:val="006000EF"/>
    <w:rsid w:val="00607567"/>
    <w:rsid w:val="0062764E"/>
    <w:rsid w:val="006462C7"/>
    <w:rsid w:val="006474C6"/>
    <w:rsid w:val="00674B68"/>
    <w:rsid w:val="00685489"/>
    <w:rsid w:val="006868C0"/>
    <w:rsid w:val="006A16B3"/>
    <w:rsid w:val="006A1AAE"/>
    <w:rsid w:val="006A569E"/>
    <w:rsid w:val="006A786C"/>
    <w:rsid w:val="006B4223"/>
    <w:rsid w:val="006B6AA2"/>
    <w:rsid w:val="006C5573"/>
    <w:rsid w:val="006C7FD2"/>
    <w:rsid w:val="006D3F9C"/>
    <w:rsid w:val="006E4459"/>
    <w:rsid w:val="0074086A"/>
    <w:rsid w:val="00742194"/>
    <w:rsid w:val="00746FD4"/>
    <w:rsid w:val="0075013E"/>
    <w:rsid w:val="00755553"/>
    <w:rsid w:val="007632BE"/>
    <w:rsid w:val="00774A7D"/>
    <w:rsid w:val="00775F68"/>
    <w:rsid w:val="00783556"/>
    <w:rsid w:val="007931F8"/>
    <w:rsid w:val="00794CCE"/>
    <w:rsid w:val="007B5C51"/>
    <w:rsid w:val="007C2161"/>
    <w:rsid w:val="007C28C0"/>
    <w:rsid w:val="007D411E"/>
    <w:rsid w:val="007E3239"/>
    <w:rsid w:val="007E360D"/>
    <w:rsid w:val="007E6504"/>
    <w:rsid w:val="007E74A8"/>
    <w:rsid w:val="008004E5"/>
    <w:rsid w:val="00804805"/>
    <w:rsid w:val="00810469"/>
    <w:rsid w:val="00830405"/>
    <w:rsid w:val="00830F43"/>
    <w:rsid w:val="0083120B"/>
    <w:rsid w:val="00841607"/>
    <w:rsid w:val="008564DA"/>
    <w:rsid w:val="0086006F"/>
    <w:rsid w:val="008604AB"/>
    <w:rsid w:val="00864575"/>
    <w:rsid w:val="0086480B"/>
    <w:rsid w:val="00875BC2"/>
    <w:rsid w:val="00877A71"/>
    <w:rsid w:val="00892822"/>
    <w:rsid w:val="008A6DC3"/>
    <w:rsid w:val="008B71E8"/>
    <w:rsid w:val="008C736F"/>
    <w:rsid w:val="008D026F"/>
    <w:rsid w:val="008D0B14"/>
    <w:rsid w:val="008D2F23"/>
    <w:rsid w:val="00911E52"/>
    <w:rsid w:val="00920CAC"/>
    <w:rsid w:val="00923B0F"/>
    <w:rsid w:val="00940785"/>
    <w:rsid w:val="009476D9"/>
    <w:rsid w:val="00952535"/>
    <w:rsid w:val="00953898"/>
    <w:rsid w:val="00964E41"/>
    <w:rsid w:val="00994ADE"/>
    <w:rsid w:val="009968AC"/>
    <w:rsid w:val="00997C21"/>
    <w:rsid w:val="00997E1F"/>
    <w:rsid w:val="009A75D6"/>
    <w:rsid w:val="009B3FD1"/>
    <w:rsid w:val="009B72AB"/>
    <w:rsid w:val="009C28F1"/>
    <w:rsid w:val="009D7D66"/>
    <w:rsid w:val="009E5C6B"/>
    <w:rsid w:val="009E68A4"/>
    <w:rsid w:val="009F2614"/>
    <w:rsid w:val="009F537F"/>
    <w:rsid w:val="00A10560"/>
    <w:rsid w:val="00A20160"/>
    <w:rsid w:val="00A24B7A"/>
    <w:rsid w:val="00A4069E"/>
    <w:rsid w:val="00A60866"/>
    <w:rsid w:val="00A610D8"/>
    <w:rsid w:val="00A778B6"/>
    <w:rsid w:val="00A95E7D"/>
    <w:rsid w:val="00AA06CB"/>
    <w:rsid w:val="00AA22AA"/>
    <w:rsid w:val="00AC5C31"/>
    <w:rsid w:val="00AE2FD9"/>
    <w:rsid w:val="00AF153F"/>
    <w:rsid w:val="00B13798"/>
    <w:rsid w:val="00B17FB2"/>
    <w:rsid w:val="00B333A5"/>
    <w:rsid w:val="00B3759D"/>
    <w:rsid w:val="00B403C7"/>
    <w:rsid w:val="00B61D5B"/>
    <w:rsid w:val="00B65674"/>
    <w:rsid w:val="00B6644E"/>
    <w:rsid w:val="00B737D9"/>
    <w:rsid w:val="00B75A5B"/>
    <w:rsid w:val="00B769F0"/>
    <w:rsid w:val="00B96D53"/>
    <w:rsid w:val="00BA2498"/>
    <w:rsid w:val="00BA2EE5"/>
    <w:rsid w:val="00BB4D44"/>
    <w:rsid w:val="00BC64CB"/>
    <w:rsid w:val="00BC7D14"/>
    <w:rsid w:val="00BD1C55"/>
    <w:rsid w:val="00BD2C93"/>
    <w:rsid w:val="00BD4A3A"/>
    <w:rsid w:val="00BF2A0A"/>
    <w:rsid w:val="00C02F75"/>
    <w:rsid w:val="00C1522B"/>
    <w:rsid w:val="00C20BC1"/>
    <w:rsid w:val="00C316D1"/>
    <w:rsid w:val="00C414E0"/>
    <w:rsid w:val="00C41A3B"/>
    <w:rsid w:val="00C5446A"/>
    <w:rsid w:val="00C615FE"/>
    <w:rsid w:val="00C76FB5"/>
    <w:rsid w:val="00C8383E"/>
    <w:rsid w:val="00C85936"/>
    <w:rsid w:val="00C91061"/>
    <w:rsid w:val="00C95EBD"/>
    <w:rsid w:val="00CA2D5E"/>
    <w:rsid w:val="00CC059D"/>
    <w:rsid w:val="00CC6AC7"/>
    <w:rsid w:val="00CD281B"/>
    <w:rsid w:val="00CD50A0"/>
    <w:rsid w:val="00CD7401"/>
    <w:rsid w:val="00CF13C5"/>
    <w:rsid w:val="00CF7E97"/>
    <w:rsid w:val="00D03BF6"/>
    <w:rsid w:val="00D10C0D"/>
    <w:rsid w:val="00D26793"/>
    <w:rsid w:val="00D26EEB"/>
    <w:rsid w:val="00D270E1"/>
    <w:rsid w:val="00D32DE0"/>
    <w:rsid w:val="00D33D26"/>
    <w:rsid w:val="00D378F2"/>
    <w:rsid w:val="00D4261B"/>
    <w:rsid w:val="00D6138F"/>
    <w:rsid w:val="00D65269"/>
    <w:rsid w:val="00D76A9A"/>
    <w:rsid w:val="00D83500"/>
    <w:rsid w:val="00D93470"/>
    <w:rsid w:val="00D966DA"/>
    <w:rsid w:val="00DA555F"/>
    <w:rsid w:val="00DB2A1B"/>
    <w:rsid w:val="00DB2B25"/>
    <w:rsid w:val="00DE04DB"/>
    <w:rsid w:val="00DE1BD3"/>
    <w:rsid w:val="00DF306F"/>
    <w:rsid w:val="00E104D2"/>
    <w:rsid w:val="00E13E9F"/>
    <w:rsid w:val="00E216C8"/>
    <w:rsid w:val="00E2740F"/>
    <w:rsid w:val="00E301AA"/>
    <w:rsid w:val="00E40AC2"/>
    <w:rsid w:val="00E52C05"/>
    <w:rsid w:val="00E55294"/>
    <w:rsid w:val="00E62A53"/>
    <w:rsid w:val="00E654D6"/>
    <w:rsid w:val="00E74AE6"/>
    <w:rsid w:val="00E77A38"/>
    <w:rsid w:val="00E82D3F"/>
    <w:rsid w:val="00E92DE6"/>
    <w:rsid w:val="00E94C44"/>
    <w:rsid w:val="00E95740"/>
    <w:rsid w:val="00EA1831"/>
    <w:rsid w:val="00EB0131"/>
    <w:rsid w:val="00EB09EF"/>
    <w:rsid w:val="00EC3366"/>
    <w:rsid w:val="00EC44BA"/>
    <w:rsid w:val="00EC57F7"/>
    <w:rsid w:val="00ED77EA"/>
    <w:rsid w:val="00F1140F"/>
    <w:rsid w:val="00F119DC"/>
    <w:rsid w:val="00F40A71"/>
    <w:rsid w:val="00F521BE"/>
    <w:rsid w:val="00F52337"/>
    <w:rsid w:val="00F52E2F"/>
    <w:rsid w:val="00F55DF0"/>
    <w:rsid w:val="00F66699"/>
    <w:rsid w:val="00F66DAA"/>
    <w:rsid w:val="00F813A7"/>
    <w:rsid w:val="00F8172C"/>
    <w:rsid w:val="00F8434F"/>
    <w:rsid w:val="00FA009D"/>
    <w:rsid w:val="00FA2E96"/>
    <w:rsid w:val="00FB4B6E"/>
    <w:rsid w:val="00FC1F22"/>
    <w:rsid w:val="00FC294C"/>
    <w:rsid w:val="00FF0E35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06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91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91061"/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C91061"/>
    <w:pPr>
      <w:ind w:left="720"/>
      <w:contextualSpacing/>
    </w:pPr>
  </w:style>
  <w:style w:type="table" w:styleId="a5">
    <w:name w:val="Table Grid"/>
    <w:basedOn w:val="a1"/>
    <w:rsid w:val="00C9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F0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03D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rsid w:val="0006749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7490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BD1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7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95BD-FF8F-4628-A87D-32DC916A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3706</Words>
  <Characters>21127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</dc:creator>
  <cp:lastModifiedBy>User</cp:lastModifiedBy>
  <cp:revision>5</cp:revision>
  <cp:lastPrinted>2018-10-08T11:42:00Z</cp:lastPrinted>
  <dcterms:created xsi:type="dcterms:W3CDTF">2018-10-08T11:42:00Z</dcterms:created>
  <dcterms:modified xsi:type="dcterms:W3CDTF">2018-10-08T11:55:00Z</dcterms:modified>
</cp:coreProperties>
</file>